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EAC35" w14:textId="77777777" w:rsidR="001F55FA" w:rsidRPr="00935B2C" w:rsidRDefault="001F55FA" w:rsidP="001F55FA">
      <w:pPr>
        <w:pStyle w:val="Titre1"/>
        <w:numPr>
          <w:ilvl w:val="0"/>
          <w:numId w:val="0"/>
        </w:numPr>
        <w:spacing w:before="0"/>
        <w:rPr>
          <w:rFonts w:ascii="Arial Narrow" w:hAnsi="Arial Narrow"/>
          <w:sz w:val="24"/>
          <w:szCs w:val="24"/>
          <w:lang w:val="fr-FR"/>
        </w:rPr>
      </w:pPr>
      <w:r w:rsidRPr="00935B2C">
        <w:rPr>
          <w:rFonts w:ascii="Arial Narrow" w:hAnsi="Arial Narrow"/>
          <w:sz w:val="24"/>
          <w:szCs w:val="24"/>
          <w:lang w:val="fr-FR"/>
        </w:rPr>
        <w:t>Résumé</w:t>
      </w:r>
    </w:p>
    <w:p w14:paraId="72254D3D" w14:textId="24C8D9D3" w:rsidR="004135F0" w:rsidRPr="004135F0" w:rsidRDefault="004135F0" w:rsidP="004135F0">
      <w:pPr>
        <w:spacing w:after="0" w:line="240" w:lineRule="auto"/>
        <w:jc w:val="both"/>
        <w:rPr>
          <w:rFonts w:ascii="Arial Narrow" w:hAnsi="Arial Narrow"/>
          <w:sz w:val="20"/>
          <w:szCs w:val="20"/>
          <w:lang w:val="fr-FR"/>
        </w:rPr>
      </w:pPr>
      <w:r w:rsidRPr="004135F0">
        <w:rPr>
          <w:rFonts w:ascii="Arial Narrow" w:hAnsi="Arial Narrow"/>
          <w:b/>
          <w:bCs/>
          <w:sz w:val="20"/>
          <w:szCs w:val="20"/>
          <w:lang w:val="fr-FR"/>
        </w:rPr>
        <w:t xml:space="preserve">Introduction : </w:t>
      </w:r>
      <w:r w:rsidRPr="004135F0">
        <w:rPr>
          <w:rFonts w:ascii="Arial Narrow" w:hAnsi="Arial Narrow"/>
          <w:sz w:val="20"/>
          <w:szCs w:val="20"/>
          <w:lang w:val="fr-FR"/>
        </w:rPr>
        <w:t>La prévention des infections associées aux soins (IAS) repose sur le respect des précautions standards de prévention des infections tout au long du parcours de soins. Nous avons évalué les connaissances et pratiques des prestataires de soins (PS) au Burkina Faso vis-à-vis des précautions standards de prévention des IAS.</w:t>
      </w:r>
    </w:p>
    <w:p w14:paraId="1C110191" w14:textId="77777777" w:rsidR="004135F0" w:rsidRPr="004135F0" w:rsidRDefault="004135F0" w:rsidP="004135F0">
      <w:pPr>
        <w:spacing w:after="0" w:line="240" w:lineRule="auto"/>
        <w:jc w:val="both"/>
        <w:rPr>
          <w:rFonts w:ascii="Arial Narrow" w:hAnsi="Arial Narrow"/>
          <w:sz w:val="20"/>
          <w:szCs w:val="20"/>
          <w:lang w:val="fr-FR"/>
        </w:rPr>
      </w:pPr>
      <w:r w:rsidRPr="004135F0">
        <w:rPr>
          <w:rFonts w:ascii="Arial Narrow" w:hAnsi="Arial Narrow"/>
          <w:b/>
          <w:bCs/>
          <w:sz w:val="20"/>
          <w:szCs w:val="20"/>
          <w:lang w:val="fr-FR"/>
        </w:rPr>
        <w:t xml:space="preserve">Méthodes : </w:t>
      </w:r>
      <w:r w:rsidRPr="004135F0">
        <w:rPr>
          <w:rFonts w:ascii="Arial Narrow" w:hAnsi="Arial Narrow"/>
          <w:sz w:val="20"/>
          <w:szCs w:val="20"/>
          <w:lang w:val="fr-FR"/>
        </w:rPr>
        <w:t>Nous avons conduit une étude transversale incluant 963 PS. Les données ont été collectées par un questionnaire en ligne du 18 septembre au 1</w:t>
      </w:r>
      <w:r w:rsidRPr="004135F0">
        <w:rPr>
          <w:rFonts w:ascii="Arial Narrow" w:hAnsi="Arial Narrow"/>
          <w:sz w:val="20"/>
          <w:szCs w:val="20"/>
          <w:vertAlign w:val="superscript"/>
          <w:lang w:val="fr-FR"/>
        </w:rPr>
        <w:t>er</w:t>
      </w:r>
      <w:r w:rsidRPr="004135F0">
        <w:rPr>
          <w:rFonts w:ascii="Arial Narrow" w:hAnsi="Arial Narrow"/>
          <w:sz w:val="20"/>
          <w:szCs w:val="20"/>
          <w:lang w:val="fr-FR"/>
        </w:rPr>
        <w:t xml:space="preserve"> octobre 2023.</w:t>
      </w:r>
    </w:p>
    <w:p w14:paraId="5375DA70" w14:textId="48592854" w:rsidR="004135F0" w:rsidRPr="004135F0" w:rsidRDefault="004135F0" w:rsidP="004135F0">
      <w:pPr>
        <w:spacing w:after="0" w:line="240" w:lineRule="auto"/>
        <w:jc w:val="both"/>
        <w:rPr>
          <w:rFonts w:ascii="Arial Narrow" w:hAnsi="Arial Narrow"/>
          <w:sz w:val="20"/>
          <w:szCs w:val="20"/>
          <w:lang w:val="fr-FR"/>
        </w:rPr>
      </w:pPr>
      <w:r w:rsidRPr="004135F0">
        <w:rPr>
          <w:rFonts w:ascii="Arial Narrow" w:hAnsi="Arial Narrow"/>
          <w:b/>
          <w:bCs/>
          <w:sz w:val="20"/>
          <w:szCs w:val="20"/>
          <w:lang w:val="fr-FR"/>
        </w:rPr>
        <w:t xml:space="preserve">Résultats : </w:t>
      </w:r>
      <w:r w:rsidRPr="004135F0">
        <w:rPr>
          <w:rFonts w:ascii="Arial Narrow" w:hAnsi="Arial Narrow"/>
          <w:sz w:val="20"/>
          <w:szCs w:val="20"/>
          <w:lang w:val="fr-FR"/>
        </w:rPr>
        <w:t>Au total, 60% étaient de sexe féminin. Les infirmiers (39%) et les sage-femmes/maïeuticiens (29%) étaient les plus représentés. Plus de la moitié des PS (62%) n’avait jamais reçu de formation sur la prévention des IAS. Seulement 15% des PS avaient un score de connaissance supérieur ou égal à la moyenne (≥3/6). La probabilité d’avoir de bonnes connaissances était significativement plus élevée pour les sage-femmes/maïeuticiens vs médecins (</w:t>
      </w:r>
      <w:proofErr w:type="spellStart"/>
      <w:proofErr w:type="gramStart"/>
      <w:r w:rsidRPr="004135F0">
        <w:rPr>
          <w:rFonts w:ascii="Arial Narrow" w:hAnsi="Arial Narrow"/>
          <w:sz w:val="20"/>
          <w:szCs w:val="20"/>
          <w:lang w:val="fr-FR"/>
        </w:rPr>
        <w:t>ORa</w:t>
      </w:r>
      <w:proofErr w:type="spellEnd"/>
      <w:r w:rsidRPr="004135F0">
        <w:rPr>
          <w:rFonts w:ascii="Arial Narrow" w:hAnsi="Arial Narrow"/>
          <w:sz w:val="20"/>
          <w:szCs w:val="20"/>
          <w:lang w:val="fr-FR"/>
        </w:rPr>
        <w:t>:</w:t>
      </w:r>
      <w:proofErr w:type="gramEnd"/>
      <w:r w:rsidRPr="004135F0">
        <w:rPr>
          <w:rFonts w:ascii="Arial Narrow" w:hAnsi="Arial Narrow"/>
          <w:sz w:val="20"/>
          <w:szCs w:val="20"/>
          <w:lang w:val="fr-FR"/>
        </w:rPr>
        <w:t xml:space="preserve"> 6,20 ; IC95%</w:t>
      </w:r>
      <w:r>
        <w:rPr>
          <w:rFonts w:ascii="Arial Narrow" w:hAnsi="Arial Narrow"/>
          <w:sz w:val="20"/>
          <w:szCs w:val="20"/>
          <w:lang w:val="fr-FR"/>
        </w:rPr>
        <w:t xml:space="preserve"> </w:t>
      </w:r>
      <w:r w:rsidRPr="004135F0">
        <w:rPr>
          <w:rFonts w:ascii="Arial Narrow" w:hAnsi="Arial Narrow"/>
          <w:sz w:val="20"/>
          <w:szCs w:val="20"/>
          <w:lang w:val="fr-FR"/>
        </w:rPr>
        <w:t>: 2,49-16,3); les PS déjà formés vs jamais formés (</w:t>
      </w:r>
      <w:proofErr w:type="spellStart"/>
      <w:r w:rsidRPr="004135F0">
        <w:rPr>
          <w:rFonts w:ascii="Arial Narrow" w:hAnsi="Arial Narrow"/>
          <w:sz w:val="20"/>
          <w:szCs w:val="20"/>
          <w:lang w:val="fr-FR"/>
        </w:rPr>
        <w:t>ORa</w:t>
      </w:r>
      <w:proofErr w:type="spellEnd"/>
      <w:r w:rsidRPr="004135F0">
        <w:rPr>
          <w:rFonts w:ascii="Arial Narrow" w:hAnsi="Arial Narrow"/>
          <w:sz w:val="20"/>
          <w:szCs w:val="20"/>
          <w:lang w:val="fr-FR"/>
        </w:rPr>
        <w:t xml:space="preserve"> : 2,07 ; IC95% : 1,09-4,02). Les pratiques étaient conformes aux recommandations standards chez 26% des PS pour le lavage/désinfection systématique des mains, 19% pour la gestion du matériel piquant/tranchant et 66% pour le nettoyage/désinfection des surfaces souillées.</w:t>
      </w:r>
    </w:p>
    <w:p w14:paraId="6B49CE74" w14:textId="77777777" w:rsidR="004135F0" w:rsidRPr="004135F0" w:rsidRDefault="004135F0" w:rsidP="004135F0">
      <w:pPr>
        <w:spacing w:after="0" w:line="240" w:lineRule="auto"/>
        <w:jc w:val="both"/>
        <w:rPr>
          <w:rFonts w:ascii="Arial Narrow" w:hAnsi="Arial Narrow"/>
          <w:sz w:val="20"/>
          <w:szCs w:val="20"/>
          <w:lang w:val="fr-FR"/>
        </w:rPr>
      </w:pPr>
      <w:r w:rsidRPr="004135F0">
        <w:rPr>
          <w:rFonts w:ascii="Arial Narrow" w:hAnsi="Arial Narrow"/>
          <w:b/>
          <w:bCs/>
          <w:sz w:val="20"/>
          <w:szCs w:val="20"/>
          <w:lang w:val="fr-FR"/>
        </w:rPr>
        <w:t xml:space="preserve">Conclusions : </w:t>
      </w:r>
      <w:bookmarkStart w:id="0" w:name="_Hlk178581088"/>
      <w:r w:rsidRPr="004135F0">
        <w:rPr>
          <w:rFonts w:ascii="Arial Narrow" w:hAnsi="Arial Narrow"/>
          <w:sz w:val="20"/>
          <w:szCs w:val="20"/>
          <w:lang w:val="fr-FR"/>
        </w:rPr>
        <w:t xml:space="preserve">Cette étude montre que les PS au Burkina Faso ont une faible connaissance des précautions standards de préventions des IAS, et que leurs pratiques sont peu conformes. Ces résultats interpellent sur la nécessité de former les PS pour réduire la morbidité et la mortalité liée aux IAS. </w:t>
      </w:r>
      <w:bookmarkEnd w:id="0"/>
    </w:p>
    <w:p w14:paraId="09823B32" w14:textId="77777777" w:rsidR="004135F0" w:rsidRPr="004135F0" w:rsidRDefault="004135F0" w:rsidP="004135F0">
      <w:pPr>
        <w:spacing w:after="0" w:line="240" w:lineRule="auto"/>
        <w:jc w:val="both"/>
        <w:rPr>
          <w:rFonts w:ascii="Arial Narrow" w:hAnsi="Arial Narrow"/>
          <w:sz w:val="20"/>
          <w:szCs w:val="20"/>
          <w:lang w:val="fr-FR"/>
        </w:rPr>
      </w:pPr>
      <w:r w:rsidRPr="004135F0">
        <w:rPr>
          <w:rFonts w:ascii="Arial Narrow" w:hAnsi="Arial Narrow"/>
          <w:b/>
          <w:bCs/>
          <w:sz w:val="20"/>
          <w:szCs w:val="20"/>
          <w:lang w:val="fr-FR"/>
        </w:rPr>
        <w:t>Mots clés :</w:t>
      </w:r>
      <w:r w:rsidRPr="004135F0">
        <w:rPr>
          <w:rFonts w:ascii="Arial Narrow" w:hAnsi="Arial Narrow"/>
          <w:sz w:val="20"/>
          <w:szCs w:val="20"/>
          <w:lang w:val="fr-FR"/>
        </w:rPr>
        <w:t xml:space="preserve"> Infections associées aux soins ; prestataires de soins ; précautions standards ; connaissances et pratiques, Burkina Faso</w:t>
      </w:r>
    </w:p>
    <w:p w14:paraId="4A9103D4" w14:textId="77777777" w:rsidR="001F55FA" w:rsidRPr="00935B2C" w:rsidRDefault="001F55FA" w:rsidP="001F55FA">
      <w:pPr>
        <w:pStyle w:val="Titre1"/>
        <w:numPr>
          <w:ilvl w:val="0"/>
          <w:numId w:val="0"/>
        </w:numPr>
        <w:ind w:left="432" w:hanging="432"/>
        <w:rPr>
          <w:rFonts w:ascii="Arial Narrow" w:hAnsi="Arial Narrow"/>
          <w:sz w:val="24"/>
          <w:szCs w:val="24"/>
        </w:rPr>
      </w:pPr>
      <w:r w:rsidRPr="00935B2C">
        <w:rPr>
          <w:rFonts w:ascii="Arial Narrow" w:hAnsi="Arial Narrow"/>
          <w:sz w:val="24"/>
          <w:szCs w:val="24"/>
        </w:rPr>
        <w:t>Abstract</w:t>
      </w:r>
    </w:p>
    <w:p w14:paraId="77CFB9A8" w14:textId="2F978EE6" w:rsidR="004135F0" w:rsidRPr="004135F0" w:rsidRDefault="001F55FA" w:rsidP="004135F0">
      <w:pPr>
        <w:spacing w:after="0" w:line="240" w:lineRule="auto"/>
        <w:jc w:val="both"/>
        <w:rPr>
          <w:rFonts w:ascii="Arial Narrow" w:hAnsi="Arial Narrow"/>
          <w:sz w:val="20"/>
          <w:szCs w:val="20"/>
        </w:rPr>
      </w:pPr>
      <w:r w:rsidRPr="00935B2C">
        <w:rPr>
          <w:rFonts w:ascii="Arial Narrow" w:hAnsi="Arial Narrow"/>
          <w:b/>
          <w:bCs/>
          <w:sz w:val="20"/>
          <w:szCs w:val="20"/>
        </w:rPr>
        <w:t>Introduction</w:t>
      </w:r>
      <w:r w:rsidR="004135F0" w:rsidRPr="004135F0">
        <w:rPr>
          <w:rFonts w:ascii="Arial Narrow" w:hAnsi="Arial Narrow"/>
          <w:sz w:val="20"/>
          <w:szCs w:val="20"/>
        </w:rPr>
        <w:t>: The prevention of healthcare-associated infections (HAIs) relies on adherence to standard precautions for the prevention and control of the infection throughout the healthcare process. We assessed the knowledge and practices of healthcare providers (HCP) in Burkina Faso with regard to standard precautions for the prevention of HAIs.</w:t>
      </w:r>
    </w:p>
    <w:p w14:paraId="77126261" w14:textId="77777777" w:rsidR="004135F0" w:rsidRPr="004135F0" w:rsidRDefault="004135F0" w:rsidP="004135F0">
      <w:pPr>
        <w:spacing w:after="0" w:line="240" w:lineRule="auto"/>
        <w:jc w:val="both"/>
        <w:rPr>
          <w:rFonts w:ascii="Arial Narrow" w:hAnsi="Arial Narrow"/>
          <w:sz w:val="20"/>
          <w:szCs w:val="20"/>
        </w:rPr>
      </w:pPr>
      <w:r w:rsidRPr="004135F0">
        <w:rPr>
          <w:rFonts w:ascii="Arial Narrow" w:hAnsi="Arial Narrow"/>
          <w:b/>
          <w:bCs/>
          <w:sz w:val="20"/>
          <w:szCs w:val="20"/>
        </w:rPr>
        <w:t>Methods</w:t>
      </w:r>
      <w:r w:rsidRPr="004135F0">
        <w:rPr>
          <w:rFonts w:ascii="Arial Narrow" w:hAnsi="Arial Narrow"/>
          <w:sz w:val="20"/>
          <w:szCs w:val="20"/>
        </w:rPr>
        <w:t>: We conducted a cross-sectional study including 963 HCP. Data were collected via an online questionnaire from September 18 to October 1, 2023.</w:t>
      </w:r>
    </w:p>
    <w:p w14:paraId="1755294A" w14:textId="77777777" w:rsidR="004135F0" w:rsidRPr="004135F0" w:rsidRDefault="004135F0" w:rsidP="004135F0">
      <w:pPr>
        <w:spacing w:after="0" w:line="240" w:lineRule="auto"/>
        <w:jc w:val="both"/>
        <w:rPr>
          <w:rFonts w:ascii="Arial Narrow" w:hAnsi="Arial Narrow"/>
          <w:sz w:val="20"/>
          <w:szCs w:val="20"/>
        </w:rPr>
      </w:pPr>
      <w:r w:rsidRPr="004135F0">
        <w:rPr>
          <w:rFonts w:ascii="Arial Narrow" w:hAnsi="Arial Narrow"/>
          <w:b/>
          <w:bCs/>
          <w:sz w:val="20"/>
          <w:szCs w:val="20"/>
        </w:rPr>
        <w:t>Results</w:t>
      </w:r>
      <w:r w:rsidRPr="004135F0">
        <w:rPr>
          <w:rFonts w:ascii="Arial Narrow" w:hAnsi="Arial Narrow"/>
          <w:sz w:val="20"/>
          <w:szCs w:val="20"/>
        </w:rPr>
        <w:t>: Among the 963 participants, 60% were female. Nurses (39%) and midwives/midwives (29%) were the most represented. More than half (62%) had never received training in HAIs prevention. Only 15% of HCP had a knowledge score above or equal to the average (≥3/6). The probability of having good knowledge was significantly higher for midwives/</w:t>
      </w:r>
      <w:proofErr w:type="spellStart"/>
      <w:r w:rsidRPr="004135F0">
        <w:rPr>
          <w:rFonts w:ascii="Arial Narrow" w:hAnsi="Arial Narrow"/>
          <w:sz w:val="20"/>
          <w:szCs w:val="20"/>
        </w:rPr>
        <w:t>maieuticians</w:t>
      </w:r>
      <w:proofErr w:type="spellEnd"/>
      <w:r w:rsidRPr="004135F0">
        <w:rPr>
          <w:rFonts w:ascii="Arial Narrow" w:hAnsi="Arial Narrow"/>
          <w:sz w:val="20"/>
          <w:szCs w:val="20"/>
        </w:rPr>
        <w:t xml:space="preserve"> vs. physicians (</w:t>
      </w:r>
      <w:proofErr w:type="spellStart"/>
      <w:r w:rsidRPr="004135F0">
        <w:rPr>
          <w:rFonts w:ascii="Arial Narrow" w:hAnsi="Arial Narrow"/>
          <w:sz w:val="20"/>
          <w:szCs w:val="20"/>
        </w:rPr>
        <w:t>Ajusted</w:t>
      </w:r>
      <w:proofErr w:type="spellEnd"/>
      <w:r w:rsidRPr="004135F0">
        <w:rPr>
          <w:rFonts w:ascii="Arial Narrow" w:hAnsi="Arial Narrow"/>
          <w:sz w:val="20"/>
          <w:szCs w:val="20"/>
        </w:rPr>
        <w:t xml:space="preserve"> OR [</w:t>
      </w:r>
      <w:proofErr w:type="spellStart"/>
      <w:r w:rsidRPr="004135F0">
        <w:rPr>
          <w:rFonts w:ascii="Arial Narrow" w:hAnsi="Arial Narrow"/>
          <w:sz w:val="20"/>
          <w:szCs w:val="20"/>
        </w:rPr>
        <w:t>aOR</w:t>
      </w:r>
      <w:proofErr w:type="spellEnd"/>
      <w:r w:rsidRPr="004135F0">
        <w:rPr>
          <w:rFonts w:ascii="Arial Narrow" w:hAnsi="Arial Narrow"/>
          <w:sz w:val="20"/>
          <w:szCs w:val="20"/>
        </w:rPr>
        <w:t>]: 6.20; 95%CI: 2.49-16.3); being trained vs. never-trained (</w:t>
      </w:r>
      <w:proofErr w:type="spellStart"/>
      <w:r w:rsidRPr="004135F0">
        <w:rPr>
          <w:rFonts w:ascii="Arial Narrow" w:hAnsi="Arial Narrow"/>
          <w:sz w:val="20"/>
          <w:szCs w:val="20"/>
        </w:rPr>
        <w:t>ORa</w:t>
      </w:r>
      <w:proofErr w:type="spellEnd"/>
      <w:r w:rsidRPr="004135F0">
        <w:rPr>
          <w:rFonts w:ascii="Arial Narrow" w:hAnsi="Arial Narrow"/>
          <w:sz w:val="20"/>
          <w:szCs w:val="20"/>
        </w:rPr>
        <w:t>: 2.07; CI95%: 1.09-4.02). The practices were in line with standard recommendations for 26% of healthcare professionals in terms of systematic hand washing/disinfection, 19% in terms of sharps management and 66% in terms of cleaning/disinfection of soiled surfaces.</w:t>
      </w:r>
    </w:p>
    <w:p w14:paraId="391DADB6" w14:textId="77777777" w:rsidR="004135F0" w:rsidRPr="004135F0" w:rsidRDefault="004135F0" w:rsidP="004135F0">
      <w:pPr>
        <w:spacing w:after="0" w:line="240" w:lineRule="auto"/>
        <w:jc w:val="both"/>
        <w:rPr>
          <w:rFonts w:ascii="Arial Narrow" w:hAnsi="Arial Narrow"/>
          <w:sz w:val="20"/>
          <w:szCs w:val="20"/>
        </w:rPr>
      </w:pPr>
      <w:r w:rsidRPr="004135F0">
        <w:rPr>
          <w:rFonts w:ascii="Arial Narrow" w:hAnsi="Arial Narrow"/>
          <w:b/>
          <w:bCs/>
          <w:sz w:val="20"/>
          <w:szCs w:val="20"/>
        </w:rPr>
        <w:t>Conclusions</w:t>
      </w:r>
      <w:r w:rsidRPr="004135F0">
        <w:rPr>
          <w:rFonts w:ascii="Arial Narrow" w:hAnsi="Arial Narrow"/>
          <w:sz w:val="20"/>
          <w:szCs w:val="20"/>
        </w:rPr>
        <w:t>: This study shows that HCP in Burkina Faso have a poor knowledge of standard precautions for the prevention and control of HAIs, and that their practices are not compliant. These results highlight the need to train healthcare workers to reduce morbidity and mortality linked to HAIs.</w:t>
      </w:r>
    </w:p>
    <w:p w14:paraId="7696E3D0" w14:textId="429DF0F0" w:rsidR="001F55FA" w:rsidRPr="001F55FA" w:rsidRDefault="004135F0" w:rsidP="004135F0">
      <w:pPr>
        <w:spacing w:after="0" w:line="240" w:lineRule="auto"/>
        <w:jc w:val="both"/>
        <w:rPr>
          <w:rFonts w:ascii="Arial Narrow" w:eastAsiaTheme="majorEastAsia" w:hAnsi="Arial Narrow" w:cstheme="majorBidi"/>
          <w:b/>
          <w:bCs/>
          <w:color w:val="365F91" w:themeColor="accent1" w:themeShade="BF"/>
          <w:sz w:val="28"/>
          <w:szCs w:val="28"/>
        </w:rPr>
      </w:pPr>
      <w:r w:rsidRPr="004135F0">
        <w:rPr>
          <w:rFonts w:ascii="Arial Narrow" w:hAnsi="Arial Narrow"/>
          <w:b/>
          <w:bCs/>
          <w:sz w:val="20"/>
          <w:szCs w:val="20"/>
        </w:rPr>
        <w:t xml:space="preserve">Keywords: </w:t>
      </w:r>
      <w:r w:rsidRPr="004135F0">
        <w:rPr>
          <w:rFonts w:ascii="Arial Narrow" w:hAnsi="Arial Narrow"/>
          <w:sz w:val="20"/>
          <w:szCs w:val="20"/>
        </w:rPr>
        <w:t>Infections associated with care; care providers; standard precautions; knowledge and practices, Burkina Faso</w:t>
      </w:r>
      <w:r w:rsidR="001F55FA" w:rsidRPr="001F55FA">
        <w:rPr>
          <w:rFonts w:ascii="Arial Narrow" w:hAnsi="Arial Narrow"/>
        </w:rPr>
        <w:br w:type="page"/>
      </w:r>
    </w:p>
    <w:p w14:paraId="31AB8A43" w14:textId="5FF289A2" w:rsidR="00673FF8" w:rsidRPr="00935B2C" w:rsidRDefault="00000000" w:rsidP="005B72EA">
      <w:pPr>
        <w:pStyle w:val="Titre1"/>
        <w:numPr>
          <w:ilvl w:val="0"/>
          <w:numId w:val="0"/>
        </w:numPr>
        <w:rPr>
          <w:sz w:val="24"/>
          <w:szCs w:val="24"/>
          <w:lang w:val="fr-FR"/>
        </w:rPr>
      </w:pPr>
      <w:r w:rsidRPr="00935B2C">
        <w:rPr>
          <w:rFonts w:ascii="Arial Narrow" w:hAnsi="Arial Narrow"/>
          <w:sz w:val="24"/>
          <w:szCs w:val="24"/>
          <w:lang w:val="fr-FR"/>
        </w:rPr>
        <w:lastRenderedPageBreak/>
        <w:t>Introductio</w:t>
      </w:r>
      <w:r w:rsidRPr="00935B2C">
        <w:rPr>
          <w:sz w:val="24"/>
          <w:szCs w:val="24"/>
          <w:lang w:val="fr-FR"/>
        </w:rPr>
        <w:t>n</w:t>
      </w:r>
    </w:p>
    <w:p w14:paraId="6FCBDAE3"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Les infections associées aux soins (IAS) ou infections nosocomiales regroupent l’ensemble des infections acquises dans un établissement de soins au cours ou à la suite d’une hospitalisation et si elles étaient absentes à l’admission à l’hôpital. Ce critère est applicable à toute infection. Lorsque la situation précise à l’admission n’est pas connue, un délai d’au moins 48 heures après l’admission (ou un délai supérieur à la période d’incubation quand celle-ci est connue) est communément accepté pour la séparer d’une infection communautaire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{"citationID":"XVrOtXz2","properties":{"formattedCitation":"[1]","plainCitation":"[1]","noteIndex":0},"citationItems":[{"id":5524,"uris":["http://zotero.org/users/1510615/items/2V5ZKXYJ"],"itemData":{"id":5524,"type":"book","title":"Comité technique national des Infections nosocomiales. Cent recommandations pour la surveillance et la prévention des infections nosocomiales. 2ème édition. Ministère de l’emploi et de la solidarité, Paris 1999 : 128 p."}}],"schema":"https://github.com/citation-style-language/schema/raw/master/csl-citation.json"}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Les IAS les plus fréquemment rapportées sont les infections liées aux cathéters, les infections des sites opératoires, les infections urinaires et les infections respiratoires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{"citationID":"rR3NqYrq","properties":{"formattedCitation":"[2, 3]","plainCitation":"[2, 3]","noteIndex":0},"citationItems":[{"id":5358,"uris":["http://zotero.org/groups/5671772/items/HSR78W48"],"itemData":{"id":5358,"type":"article-journal","abstract":"Healthcare-associated infections are widely considered one of the most common unfavorable outcomes of healthcare delivery. Ventilator-associated pneumonia, central line-associated bloodstream infections, and catheter-associated urinary tract infections are examples of healthcare-associated infections. The current study was a retrospective study conducted at a public hospital in Unaizah, Saudi Arabia, to investigate the frequency of healthcare-associated illnesses and adherence to healthcare-associated infection prevention techniques in the year 2021. Surgical site infections occurred at a rate of 0.1%. The average number of catheter-associated urinary tract infections per 1000 catheter days was 0.76. The average number of central line-associated bloodstream infections per 1000 central line days was 2.6. The rate of ventilator-associated pneumonia was 1.1 per 1000 ventilator days on average. The average number of infections caused by multidrug-resistant organisms per 1000 patient days was 2.8. Compliance rates were 94%, 100%, 99%, and 76% for ventilator-associated pneumonia, central line-associated bloodstream infections, catheter-associated urinary tract infections, and hand hygiene bundles, respectively. It is critical to participate in more educational events and workshops, particularly those that emphasize hand cleanliness and personal safety equipment.","container-title":"Healthcare","DOI":"10.3390/healthcare11010063","ISSN":"2227-9032","issue":"1","language":"en","license":"http://creativecommons.org/licenses/by/3.0/","note":"number: 1\npublisher: Multidisciplinary Digital Publishing Institute","page":"63","source":"www.mdpi.com","title":"Epidemiology of Healthcare-Associated Infections and Adherence to the HAI Prevention Strategies","volume":"11","author":[{"family":"Alrebish","given":"Saleh A."},{"family":"Yusufoglu","given":"Hasan S."},{"family":"Alotibi","given":"Reem F."},{"family":"Abdulkhalik","given":"Nawal S."},{"family":"Ahmed","given":"Nehad J."},{"family":"Khan","given":"Amer H."}],"issued":{"date-parts":[["2023",1]]}},"label":"page"},{"id":5356,"uris":["http://zotero.org/groups/5671772/items/PQCN6F77"],"itemData":{"id":5356,"type":"article-journal","abstract":"BACKGROUND: Healthcare-associated infections (HAIs) are a serious global public health issue. However, a comprehensive analysis of risk factors for HAIs has yet been undertaken at a large scale among general hospitals in China. The aim of this review was to assess risk factors associated with HAIs in Chinese general hospitals.\nMETHODS: Medline, EMBASE and Chinese Journals Online databases were searched to find studies published from 1st January 2001 to 31st May 2022. The random-effects model was used to estimate odds ratio (OR). Heterogeneity was assessed based on the τˆ2 and I2 statistics.\nRESULTS: A total of 5037 published papers were identified from the initial search and 58 studies were included in the quantitative meta-analysis; 1,211,117 hospitalized patients were incorporated covering 41 regions in 23 provinces of China and 29,737 were identified as having HAIs. Our review showed that HAIs were significantly associated with sociodemographic characteristics including age older than 60 years (OR: 1.74 (1.38-2.19)) and male sex (1.33 (1.20-1.47)); invasive procedures (3.54 (1.50-8.34)); health conditions such as chronic diseases (1.49 (1.22-1.82)), coma (OR: 5.12 (1.70-15.38)) and immunosuppression (2.45 (1.55-3.87)). Other risk factors included long-term bed (5.84 (5.12-6.66)), and healthcare-related risk factors such as chemotherapy (1.96 (1.28-3.01)), haemodialysis (3.12 (1.80-5.39)), hormone therapy (2.96(1.96-4.45)), immunosuppression (2.45 (1.55-3.87)) and use of antibiotics (6.64 (3.16-13.96)), and longer than 15 hospitalization days (13.36 (6.80-26.26)).\nCONCLUSIONS: Being male and aged over 60 years, invasive procedure, health conditions, healthcare-related risk factors, and longer than 15 hospitalization days were the main risk factors associated with HAIs in Chinese general hospitals. This supports the evidence base to inform the relevant cost-effective prevention and control strategies.","container-title":"The Journal of Hospital Infection","DOI":"10.1016/j.jhin.2023.02.013","ISSN":"1532-2939","journalAbbreviation":"J Hosp Infect","language":"eng","note":"PMID: 36907333","page":"37-49","source":"PubMed","title":"A systematic review and meta-analysis of risk factors associated with healthcare-associated infections among hospitalized patients in Chinese general hospitals from 2001 to2022","volume":"135","author":[{"family":"Liu","given":"X."},{"family":"Long","given":"Y."},{"family":"Greenhalgh","given":"C."},{"family":"Steeg","given":"S."},{"family":"Wilkinson","given":"J."},{"family":"Li","given":"H."},{"family":"Verma","given":"A."},{"family":"Spencer","given":"A."}],"issued":{"date-parts":[["2023",5]]}},"label":"page"}],"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[2, 3]</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Les infections nosocomiales constituent un problème de santé publique. L’Organisation Mondiale de la Santé (OMS) estime qu’en moyenne un patient sur dix est touché par une IAS. Toutefois, la fréquence pourrait être beaucoup plus élevée dans </w:t>
      </w:r>
      <w:bookmarkStart w:id="1" w:name="_Hlk189759590"/>
      <w:r w:rsidRPr="004135F0">
        <w:rPr>
          <w:rFonts w:ascii="Arial Narrow" w:hAnsi="Arial Narrow" w:cs="Times New Roman"/>
          <w:sz w:val="20"/>
          <w:szCs w:val="20"/>
          <w:lang w:val="fr-FR"/>
        </w:rPr>
        <w:t xml:space="preserve">les pays à revenus faibles ou intermédiaires </w:t>
      </w:r>
      <w:bookmarkEnd w:id="1"/>
      <w:r w:rsidRPr="004135F0">
        <w:rPr>
          <w:rFonts w:ascii="Arial Narrow" w:hAnsi="Arial Narrow" w:cs="Times New Roman"/>
          <w:sz w:val="20"/>
          <w:szCs w:val="20"/>
          <w:lang w:val="fr-FR"/>
        </w:rPr>
        <w:t xml:space="preserve">(PRFI)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E2SInYRv","properties":{"formattedCitation":"[4]","plainCitation":"[4]","noteIndex":0},"citationItems":[{"id":5359,"uris":["http://zotero.org/groups/5671772/items/N3JEU2VB"],"itemData":{"id":5359,"type":"article-journal","container-title":"eClinicalMedicine","DOI":"10.1016/j.eclinm.2024.102571","ISSN":"2589-5370","journalAbbreviation":"eClinicalMedicine","language":"English","note":"publisher: Elsevier","source":"www.thelancet.com","title":"The burden of hospital-acquired infections (HAI) in sub-Saharan Africa: a systematic review and meta-analysis","title-short":"The burden of hospital-acquired infections (HAI) in sub-Saharan Africa","URL":"https://www.thelancet.com/journals/eclinm/article/PIIS2589-5370(24)00150-0/fulltext","volume":"71","author":[{"family":"Melariri","given":"Herbert"},{"family":"Freercks","given":"Robert"},{"family":"Merwe","given":"Elizabeth","dropping-particle":"van der"},{"family":"Ham-Baloyi","given":"Wilma Ten"},{"family":"Oyedele","given":"Opeoluwa"},{"family":"Murphy","given":"Richard A."},{"family":"Claasen","given":"Clarissa"},{"family":"Etusim","given":"Paschal Emeka"},{"family":"Achebe","given":"Maureen Okam"},{"family":"Offiah","given":"Shadrach"},{"family":"Melariri","given":"Paula E."}],"accessed":{"date-parts":[["2024",9,22]]},"issued":{"date-parts":[["2024",5,1]]}}}],"schema":"https://github.com/citation-style-language/schema/raw/master/csl-citation.json"}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[4]</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En Afrique, la prévalence des IAS est variable selon les pays. Elle était estimée à 8,5% en Algérie, 20% en Guinée et 34,5% en République Démocratique du Congo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XDWfDUNv","properties":{"formattedCitation":"[5\\uc0\\u8211{}7]","plainCitation":"[5–7]","noteIndex":0},"citationItems":[{"id":"dRkYMcI2/CJl2szj5","uris":["http://zotero.org/users/10711475/items/RPUJC2MB"],"itemData":{"id":413,"type":"article-journal","container-title":"Santé Publique","DOI":"10.3917/spub.162.0251","ISSN":"0995-3914","issue":"2","page":"251-255","source":"DOI.org (Crossref)","title":"Prévalence des infections nosocomiales dans deux hôpitaux de Conakry (Guinée):","title-short":"Prévalence des infections nosocomiales dans deux hôpitaux de Conakry (Guinée)","volume":"Vol. 28","author":[{"family":"Keita","given":"Alpha Kabinet"},{"family":"Doumbouya","given":"Naman"},{"family":"Sow","given":"Mamadou Saliou"},{"family":"Konaté","given":"Bintou"},{"family":"Dabo","given":"Yacouba"},{"family":"Panzo","given":"Daniel Agbo"},{"family":"Keita","given":"Mamady"}],"issued":{"date-parts":[["2016",6,1]]}}},{"id":"dRkYMcI2/SEPrVPOm","uris":["http://zotero.org/users/10711475/items/VEGB3Q7V"],"itemData":{"id":411,"type":"article-journal","abstract":"Introduction Les infections associées aux soins constituent un véritable problème de santé dans les milieux de soins, en particulier dans les hôpitaux. Il s’agit d’une préoccupation majeure mondiale de la sécurité pour les patients et les professionnels de la santé. L’objectif de cette étude était de déterminer la prévalence des infections nosocomiales au niveau du Centre Hospitalier Universitaire d’Oran et de connaitre les facteurs de risque. Patients et méthodes Il s’agit d’une enquête transversale, un jour donné, réalisée lors d’un seul passage des enquêteurs dans les services d’hospitalisation. La période de l’enquête s’est étalée sur 08 jours du 03 au 11 mai 2016. Tous les services étaient inclus et tous les patients ayant une durée d’hospitalisation supérieure ou égale à 48 heures présents le jour de passage des enquêteurs étaient inclus. Les questionnaires étaient contrôlés et validés avant la saisie des données sur le logiciel Epi info 7. Résultats Durant la période de l’étude 540 patients ont été inclus dans l’étude, répartis dans 26 services d’hospitalisation. L'âge moyen des patients était de 40,1 ± 1,9 ans. Une prédominance féminine était observée avec un sex-ratio de 0,78. Le taux de prévalence des infections nosocomiales était de 8,5% et celui des patients infectés était de 7,8%. Les infections urinaires venaient en première position avec une fréquence de 41,3%. Les entérobactéries occupaient la première position avec une fréquence de 45% de l’ensemble des germes retrouvés. Le profil de résistances bactériennes aux antibiotiques a été analysé pour les souches identifiées dans le cadre de l’enquête, au nombre de 22 souches. Les facteurs de risque dus aux conditions thérapeutiques et de prise en charge qui étaient liés dans notre étude à la survenue d’une infection nosocomiale étaient, la notion de transfert, la notion d’intervention chirurgicale, la corticothérapie et l’intubation. Conclusion Les enquêtes de prévalence constituent un outil de mesure et de surveillance des infections nosocomiales d’où l’intérêt de répéter périodiquement ce genre d’enquête. \nMots clés : Infections nosocomiales ; prévalence ; facteurs de risque ;","source":"ResearchGate","title":"Infections Nosocomiales (IN) : Enquête de prévalence et d’identification des facteurs de risque dans un centre hospitalier universitaire de la région ouest d’Algérie, 2016.","title-short":"Infections Nosocomiales (IN)","author":[{"family":"Guetarni","given":"Nadia"},{"family":"Besbes","given":"F.Z."},{"family":"Derkaoui","given":"Abderrahmane Boumediene"},{"family":"Zoubir","given":"Ahmed"},{"family":"Zouagui","given":"Souad"}],"issued":{"date-parts":[["2017",2,2]]}}},{"id":"dRkYMcI2/lPDtrPUV","uris":["http://zotero.org/users/10711475/items/3W58FYH7"],"itemData":{"id":330,"type":"article-journal","container-title":"Pan African Medical Journal","DOI":"10.11604/pamj.2016.24.275.7626","ISSN":"1937-8688","journalAbbreviation":"Pan Afr Med J","language":"en","source":"DOI.org (Crossref)","title":"Etude de la prévalence des infections nosocomiales et des facteurs associes dans les deux hopitaux universitaires de Lubumbashi, République Démocratique du Congo: cas des Cliniques Universitaires de Lubumbashi et l’Hôpital Janson Sendwe","title-short":"Etude de la prévalence des infections nosocomiales et des facteurs associes dans les deux hopitaux universitaires de Lubumbashi, République Démocratique du Congo","URL":"http://www.panafrican-med-journal.com/content/article/24/275/full/","volume":"24","author":[{"family":"Kakupa","given":"Danny Kasongo"},{"family":"Muenze","given":"Prosper Kalenga"},{"family":"Byl","given":"Baudouin"},{"family":"Dramaix","given":"Michèle"}],"accessed":{"date-parts":[["2023",8,17]]},"issued":{"date-parts":[["2016"]]}}}],"schema":"https://github.com/citation-style-language/schema/raw/master/csl-citation.json"}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[5–7]</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Les conséquences des infections liées aux soins sont nombreuses. Elles entrainent une morbidité et une mortalité élevées, mais aussi un coût social important. Sur le plan économique, elles sont responsables d’une augmentation des coûts des soins, et des durées de séjours hospitaliers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{"citationID":"GJne1ATR","properties":{"formattedCitation":"[8]","plainCitation":"[8]","noteIndex":0},"citationItems":[{"id":5351,"uris":["http://zotero.org/groups/5671772/items/VNJJUX8U"],"itemData":{"id":5351,"type":"article-journal","container-title":"American Journal of Infection Control","DOI":"10.1016/j.ajic.2016.07.018","ISSN":"0196-6553, 1527-3296","issue":"2","journalAbbreviation":"American Journal of Infection Control","language":"English","note":"publisher: Elsevier\nPMID: 27665034","page":"145-150","source":"www.ajicjournal.org","title":"Epidemiology and economic impact of health care–associated infections and cost-effectiveness of infection control measures at a Thai university hospital","volume":"45","author":[{"family":"Rattanaumpawan","given":"Pinyo"},{"family":"Thamlikitkul","given":"Visanu"}],"issued":{"date-parts":[["2017",2,1]]}}}],"schema":"https://github.com/citation-style-language/schema/raw/master/csl-citation.json"}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[8]</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Elles favorisent également l’émergence de germes résistants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{"citationID":"HFtXYuk3","properties":{"formattedCitation":"[9]","plainCitation":"[9]","noteIndex":0},"citationItems":[{"id":5353,"uris":["http://zotero.org/groups/5671772/items/9FR4DJWY"],"itemData":{"id":5353,"type":"article-journal","abstract":"UK Department of Health and Social Care's Fleming Fund using UK aid, and the Wellcome Trust.","container-title":"Lancet (London, England)","DOI":"10.1016/S0140-6736(24)01867-1","ISSN":"1474-547X","language":"en","note":"publisher: Lancet\nPMID: 39299261","source":"login.research4life.org","title":"Global burden of bacterial antimicrobial resistance 1990-2021: a systematic analysis with forecasts to 2050","title-short":"Global burden of bacterial antimicrobial resistance 1990-2021","URL":"https://pubmed.ncbi.nlm.nih.gov/39299261/","accessed":{"date-parts":[["2024",9,22]]},"issued":{"date-parts":[["2024",9,13]]}}}],"schema":"https://github.com/citation-style-language/schema/raw/master/csl-citation.json"}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[9]</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Balasubramanian et al. estimait à 136 millions le nombre annuel de cas d'infections résistantes aux antibiotiques associées aux soins dans le monde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{"citationID":"BjOG0ukI","properties":{"formattedCitation":"[10]","plainCitation":"[10]","noteIndex":0},"citationItems":[{"id":5330,"uris":["http://zotero.org/groups/5671772/items/A7ICJSNJ"],"itemData":{"id":5330,"type":"article-journal","abstract":"Background Hospital-associated infections (HAIs) are an important cause of morbidity and mortality around the world. Many HAIs are caused by drug-resistant bacterial pathogens, but there are major gaps in our understanding of the number of hospital-associated drug-resistant infections (HARIs) worldwide. As such, we estimated trends in prevalence of HARIs caused by high priority pathogens (Escherichia coli, Acinetobacter spp., Klebsiella spp., Staphylococcus aureus, Enterobacter spp., and Pseudomonas spp.) in 195 countries. Methods and findings Resistance prevalence estimates were extracted from 474-point prevalence surveys (PPS) from 99 countries published between 2010 and 2020 coupled with country-level estimates of hospitalization rates and length of stay. Prevalence estimates were transformed in yearly incidence of HARIs per year by country and income group. We estimate the global number of HARIs per year to be 136 million (95% credible interval (CI) 26 to 246 million) per year, with the highest burden in China (52 million, 95% CI 10 to 95 million), Pakistan (10 million, 95% CI 2 to 18 million), and India (9 million, 95% CI 3 to 15 million). Among income groups, middle-income countries bore the highest burden of HARIs per year (119 million, 95% CI 23 to 215 million). Our analysis was constrained by the limited number of PPS for HARIs, lack of community-associated data on antibiotic-resistant infections, and our population level analysis. Conclusions In this study, we observe, in the absence of systematic surveillance systems for HARIs, a baseline overview of their rates. Our yearly estimates highlight the global threat of HARIs and may help define strategies to tackle resistance in hospital settings.","container-title":"PLOS Medicine","DOI":"10.1371/journal.pmed.1004178","ISSN":"1549-1676","issue":"6","journalAbbreviation":"PLOS Medicine","language":"en","note":"publisher: Public Library of Science","page":"e1004178","source":"PLoS Journals","title":"Global incidence in hospital-associated infections resistant to antibiotics: An analysis of point prevalence surveys from 99 countries","title-short":"Global incidence in hospital-associated infections resistant to antibiotics","volume":"20","author":[{"family":"Balasubramanian","given":"Ruchita"},{"family":"Boeckel","given":"Thomas P. Van"},{"family":"Carmeli","given":"Yehuda"},{"family":"Cosgrove","given":"Sara"},{"family":"Laxminarayan","given":"Ramanan"}],"issued":{"date-parts":[["2023",6,13]]}}}],"schema":"https://github.com/citation-style-language/schema/raw/master/csl-citation.json"}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[10]</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w:t>
      </w:r>
    </w:p>
    <w:p w14:paraId="1CE3EECE" w14:textId="7A992043" w:rsidR="00673FF8" w:rsidRPr="00CD6DE4" w:rsidRDefault="004135F0" w:rsidP="004135F0">
      <w:pPr>
        <w:spacing w:after="0"/>
        <w:jc w:val="both"/>
        <w:rPr>
          <w:rFonts w:ascii="Arial Narrow" w:hAnsi="Arial Narrow"/>
          <w:lang w:val="fr-FR"/>
        </w:rPr>
      </w:pPr>
      <w:r w:rsidRPr="004135F0">
        <w:rPr>
          <w:rFonts w:ascii="Arial Narrow" w:hAnsi="Arial Narrow" w:cs="Times New Roman"/>
          <w:sz w:val="20"/>
          <w:szCs w:val="20"/>
          <w:lang w:val="fr-FR"/>
        </w:rPr>
        <w:t xml:space="preserve">Des mesures de prévention des IAS incluant l’aménagement des locaux, l’organisation du personnel et des soins ont été recommandées par l’OMS pour réduire la morbidité liée aux infections nosocomiales de 70%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{"citationID":"ZzxEbBP2","properties":{"formattedCitation":"[11]","plainCitation":"[11]","noteIndex":0},"citationItems":[{"id":"dRkYMcI2/AsHRgKq6","uris":["http://zotero.org/users/10711475/items/XNHMYWRZ"],"itemData":{"id":100,"type":"webpage","abstract":"La pandémie de COVID-19 et d’autres grandes épidémies récentes ont montré dans quelle mesure les établissements de soins de santé pouvaient contribuer à la propagation des infections, portant ainsi préjudice aux patients, aux agents de santé et aux visiteurs, si l’on n’accorde pas suffisamment d’attention à la lutte anti-infectieuse. Mais un nouveau rapport de l’Organisation mondiale de la Santé (OMS) montre qu’en ayant une bonne hygiène des mains et en suivant d’autres pratiques efficaces par rapport à leur coût, on peut éviter 70 % de ces infections.","language":"fr","title":"L’OMS publie le tout premier rapport mondial sur la lutte anti-infectieuse","URL":"https://www.who.int/fr/news/item/06-05-2022-who-launches-first-ever-global-report-on-infection-prevention-and-control","author":[{"family":"Organisation Mondiale de la Santé (OMS)","given":""}],"accessed":{"date-parts":[["2023",8,17]]},"issued":{"date-parts":[["2022",5,6]]}}}],"schema":"https://github.com/citation-style-language/schema/raw/master/csl-citation.json"}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[11]</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Il faut noter que la prévention des IAS inclut l’évaluation des risques et des mesures d’hygiène. Celles-ci comprennent l’hygiène des mains, l’hygiène respiratoire, le placement des patients, les équipements de protection individuelle, les techniques aseptiques, les injections sécurisées et la prévention des blessures par objets tranchants, le nettoyage environnemental, la manutention du linge souillé, la gestion des déchets, la décontamination et le retraitement des articles et équipements réutilisables de soins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{"citationID":"dYNJp5eb","properties":{"formattedCitation":"[12]","plainCitation":"[12]","noteIndex":0},"citationItems":[{"id":5346,"uris":["http://zotero.org/groups/5671772/items/EWP8NZ3C"],"itemData":{"id":5346,"type":"article-journal","abstract":"Healthcare-associated infection is a major safety issue affecting the quality of care of hundreds of millions of patients every year in both developed and developing countries. To meet the goal of ensuring patient safety across healthcare settings around the globe, the World Health Organization launched the World Alliance for Patient Safety in October 2004. Healthcare-associated infections were identified as a fundamental work priority and selected as the topic of the First Global Patient Safety Challenge launched by the Alliance. Under the banner \"Clean Care is Safer Care\", the Challenge aims at implementing several actions to reduce healthcare-associated infections worldwide, regardless of the level of development of healthcare systems and the availability of resources. Implementation strategies include the integration of multiple interventions in the areas of blood safety, injection safety, clinical procedure safety, and water, sanitation and waste management, with the promotion of hand hygiene in healthcare as the cornerstone. Several initiatives have been undertaken to raise global awareness and to obtain country commitment to support action on this issue. The new Guidelines on Hand Hygiene in Health Care, including the most consistent scientific evidence available, have been issued in an advanced draft form. An implementation strategy is proposed therein to provide solutions to overcome obstacles to improvement in compliance with hand hygiene practices, together with a range of practical tools for use in healthcare settings. The latter are currently undergoing testing in several pilot sites to evaluate feasibility, acceptability and sustainability.","container-title":"The Journal of Hospital Infection","DOI":"10.1016/S0195-6701(07)60027-9","ISSN":"0195-6701","journalAbbreviation":"J Hosp Infect","language":"eng","note":"PMID: 17540254","page":"115-123","source":"PubMed","title":"The First Global Patient Safety Challenge \"Clean Care is Safer Care\": from launch to current progress and achievements","title-short":"The First Global Patient Safety Challenge \"Clean Care is Safer Care\"","volume":"65 Suppl 2","author":[{"family":"Allegranzi","given":"Benedetta"},{"family":"Storr","given":"Julie"},{"family":"Dziekan","given":"Gerald"},{"family":"Leotsakos","given":"Agnès"},{"family":"Donaldson","given":"Liam"},{"family":"Pittet","given":"Didier"}],"issued":{"date-parts":[["2007",6]]}}}],"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[12]</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Les « précautions standards » sont définies par le respect de ces mesures d’hygiène.  Elles sont importantes pour  garantir des soins de qualité aux patients,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{"citationID":"8fhDpvay","properties":{"formattedCitation":"[13]","plainCitation":"[13]","noteIndex":0},"citationItems":[{"id":5360,"uris":["http://zotero.org/groups/5671772/items/TUNXP92Q"],"itemData":{"id":5360,"type":"webpage","abstract":"Standard precautions aim to protect both health workers and patients by reducing the risk of transmission of microorganisms from both recognized and unrecognized sources. They are the minimum standard of infection prevention and control practices that should be used by all health-care workers, during the care of all patients, at all times, in all settings. When applied consistently, standard precautions can prevent the transmission of microorganisms between patients, health workers and the environment. This aide-memoire presents a concise overview of important advice for implementation and key elements at a glance.","language":"en","title":"Standard precautions for the prevention and control of infections: aide-memoire","title-short":"Standard precautions for the prevention and control of infections","URL":"https://www.who.int/publications/i/item/WHO-UHL-IHS-IPC-2022.1","accessed":{"date-parts":[["2024",9,22]]}}}],"schema":"https://github.com/citation-style-language/schema/raw/master/csl-citation.json"}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[13]</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surtout dans les PRFI comme le Burkina Faso. En effet, a </w:t>
      </w:r>
      <w:bookmarkStart w:id="2" w:name="_Hlk178580865"/>
      <w:r w:rsidRPr="004135F0">
        <w:rPr>
          <w:rFonts w:ascii="Arial Narrow" w:hAnsi="Arial Narrow" w:cs="Times New Roman"/>
          <w:sz w:val="20"/>
          <w:szCs w:val="20"/>
          <w:lang w:val="fr-FR"/>
        </w:rPr>
        <w:t>pandémie à COVID-19 a mis en lumière l’importance de respecter les précautions standards</w:t>
      </w:r>
      <w:bookmarkEnd w:id="2"/>
      <w:r w:rsidRPr="004135F0">
        <w:rPr>
          <w:rFonts w:ascii="Arial Narrow" w:hAnsi="Arial Narrow" w:cs="Times New Roman"/>
          <w:sz w:val="20"/>
          <w:szCs w:val="20"/>
          <w:lang w:val="fr-FR"/>
        </w:rPr>
        <w:t xml:space="preserve">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8BwZG7S0","properties":{"formattedCitation":"[14]","plainCitation":"[14]","noteIndex":0},"citationItems":[{"id":5338,"uris":["http://zotero.org/groups/5671772/items/CY8MWG38"],"itemData":{"id":5338,"type":"book","ISBN":"978-92-4-001161-8","language":"en","note":"Google-Books-ID: LHcOEQAAQBAJ","number-of-pages":"16","publisher":"World Health Organization","source":"Google Books","title":"Hand Hygiene for All Initiative: improving access and behaviour in health care facilities","title-short":"Hand Hygiene for All Initiative","author":[{"family":"Organization","given":"World Health"}],"issued":{"date-parts":[["2020",9,30]]}}}],"schema":"https://github.com/citation-style-language/schema/raw/master/csl-citation.json"}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[14]</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Des sessions de formation ont été réalisées pour renforcer les capacités des prestataires de soins (PS) en matière de prévention des infections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{"citationID":"qOIi6uNp","properties":{"formattedCitation":"[15]","plainCitation":"[15]","noteIndex":0},"citationItems":[{"id":"dRkYMcI2/hs5M95Q1","uris":["http://zotero.org/users/10711475/items/ZSPZAAB4"],"itemData":{"id":389,"type":"webpage","abstract":"Dans le cadre de la lutte contre les infections associées aux soins en milieu hospitalier, la Direction régionale de la santé du Centre en collaboration avec l’OMS, a organisé  un atelier de briefing des évaluateurs et de superviseurs PCI/WASH.  Au total, vingt-huit (28) participants composés de membres des équipes cadres, de promoteurs de structures de santé privées (cliniques, cabinets, structures communautaires et confessionnelles) et de représentants des directions centrales y ont pris part.","container-title":"OMS | Bureau régional pour l'Afrique","language":"fr","title":"Burkina Faso : Améliorer la prévention et le contrôle de infections (PCI) dans les structures sanitaires de la Région du Centre","title-short":"Burkina Faso","URL":"https://www.afro.who.int/fr/news/burkina-faso-ameliorer-la-prevention-et-le-controle-de-infections-pci-dans-les-structures","author":[{"family":"Organisation Mondiale de la Santé (OMS) - Bureau régional pour l'Afrique","given":""}],"accessed":{"date-parts":[["2023",8,17]]},"issued":{"date-parts":[["2023",8,16]]}}}],"schema":"https://github.com/citation-style-language/schema/raw/master/csl-citation.json"}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[15]</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Trois années plus tard après le début de la pandémie de la COVID-19, peu d’études ont rapporté les connaissances et pratiques des PS sur les précautions standards à respecter pendant l’administration des soins au Burkina Faso.  Celles-ci sont cependant indispensables pour orienter les politiques de santé pour améliorer la prévention et le contrôle des infections dans les formations sanitaires. L’objectif de cette étude était d’évaluer les connaissances des PS sur les précautions standards, mais aussi de décrire leurs pratiques sur le terrain en matière de prévention des IAS.</w:t>
      </w:r>
    </w:p>
    <w:p w14:paraId="6F4D0CBB" w14:textId="77777777" w:rsidR="00673FF8" w:rsidRPr="00935B2C" w:rsidRDefault="00000000" w:rsidP="00B34244">
      <w:pPr>
        <w:pStyle w:val="Titre1"/>
        <w:ind w:left="426"/>
        <w:rPr>
          <w:rFonts w:ascii="Arial Narrow" w:hAnsi="Arial Narrow"/>
          <w:sz w:val="24"/>
          <w:szCs w:val="24"/>
          <w:lang w:val="fr-FR"/>
        </w:rPr>
      </w:pPr>
      <w:r w:rsidRPr="00935B2C">
        <w:rPr>
          <w:rFonts w:ascii="Arial Narrow" w:hAnsi="Arial Narrow"/>
          <w:sz w:val="24"/>
          <w:szCs w:val="24"/>
          <w:lang w:val="fr-FR"/>
        </w:rPr>
        <w:t>Méthodes</w:t>
      </w:r>
    </w:p>
    <w:p w14:paraId="2CD6CD6C" w14:textId="723747A6" w:rsidR="009814C2" w:rsidRPr="00935B2C" w:rsidRDefault="004135F0" w:rsidP="00407063">
      <w:pPr>
        <w:pStyle w:val="Titre2"/>
        <w:rPr>
          <w:rFonts w:ascii="Arial Narrow" w:hAnsi="Arial Narrow"/>
          <w:color w:val="1F497D" w:themeColor="text2"/>
          <w:sz w:val="20"/>
          <w:szCs w:val="20"/>
          <w:lang w:val="fr-FR"/>
        </w:rPr>
      </w:pPr>
      <w:bookmarkStart w:id="3" w:name="_Toc153240299"/>
      <w:r w:rsidRPr="004135F0">
        <w:rPr>
          <w:rFonts w:ascii="Arial Narrow" w:hAnsi="Arial Narrow"/>
          <w:color w:val="1F497D" w:themeColor="text2"/>
          <w:sz w:val="20"/>
          <w:szCs w:val="20"/>
          <w:lang w:val="fr-FR"/>
        </w:rPr>
        <w:t>Type, période et cadre de l’étude</w:t>
      </w:r>
      <w:bookmarkEnd w:id="3"/>
    </w:p>
    <w:p w14:paraId="30FFC4FF" w14:textId="2834A51B" w:rsidR="00EF4244" w:rsidRPr="00935B2C" w:rsidRDefault="004135F0" w:rsidP="00EF4244">
      <w:pPr>
        <w:jc w:val="both"/>
        <w:rPr>
          <w:sz w:val="18"/>
          <w:szCs w:val="18"/>
          <w:lang w:val="fr-FR"/>
        </w:rPr>
      </w:pPr>
      <w:r w:rsidRPr="004135F0">
        <w:rPr>
          <w:rFonts w:ascii="Arial Narrow" w:hAnsi="Arial Narrow" w:cs="Times New Roman"/>
          <w:sz w:val="20"/>
          <w:szCs w:val="20"/>
          <w:lang w:val="fr-FR"/>
        </w:rPr>
        <w:t>Nous avons conduit une étude transversale entre le 1</w:t>
      </w:r>
      <w:r w:rsidRPr="004135F0">
        <w:rPr>
          <w:rFonts w:ascii="Arial Narrow" w:hAnsi="Arial Narrow" w:cs="Times New Roman"/>
          <w:sz w:val="20"/>
          <w:szCs w:val="20"/>
          <w:vertAlign w:val="superscript"/>
          <w:lang w:val="fr-FR"/>
        </w:rPr>
        <w:t>er</w:t>
      </w:r>
      <w:r w:rsidRPr="004135F0">
        <w:rPr>
          <w:rFonts w:ascii="Arial Narrow" w:hAnsi="Arial Narrow" w:cs="Times New Roman"/>
          <w:sz w:val="20"/>
          <w:szCs w:val="20"/>
          <w:lang w:val="fr-FR"/>
        </w:rPr>
        <w:t xml:space="preserve"> septembre et le 31 octobre 2023 dans les 13 régions du Burkina Faso. Au Burkina Faso, l’offre de soins est assurée par les structures sanitaires publiques et privées. Les structures sanitaires publiques de soins sont organisées en trois niveaux. Le premier niveau comporte deux échelons : le 1</w:t>
      </w:r>
      <w:r w:rsidRPr="004135F0">
        <w:rPr>
          <w:rFonts w:ascii="Arial Narrow" w:hAnsi="Arial Narrow" w:cs="Times New Roman"/>
          <w:sz w:val="20"/>
          <w:szCs w:val="20"/>
          <w:vertAlign w:val="superscript"/>
          <w:lang w:val="fr-FR"/>
        </w:rPr>
        <w:t>er</w:t>
      </w:r>
      <w:r w:rsidRPr="004135F0">
        <w:rPr>
          <w:rFonts w:ascii="Arial Narrow" w:hAnsi="Arial Narrow" w:cs="Times New Roman"/>
          <w:sz w:val="20"/>
          <w:szCs w:val="20"/>
          <w:lang w:val="fr-FR"/>
        </w:rPr>
        <w:t xml:space="preserve"> échelon composé des centres de santé et de promotion sociale (CSPS), et le 2ème échelon qui comprend les centres médicaux avec antenne chirurgicale (CMA) et les hôpitaux de district. Le deuxième niveau correspond aux centres hospitaliers régionaux (CHR). Le troisième niveau, sommet de la pyramide, est composé des centres hospitaliers universitaires (CHU)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{"citationID":"or2JBzp8","properties":{"formattedCitation":"[16]","plainCitation":"[16]","noteIndex":0},"citationItems":[{"id":"dRkYMcI2/Cq9Gt4Z8","uris":["http://zotero.org/users/10711475/items/QMG6GIRN"],"itemData":{"id":93,"type":"webpage","abstract":"## Build Setup","container-title":"ONSP","language":"fr","title":"Aperçu de quelques indicateurs pays","URL":"https://onsp-sante.bf/","author":[{"family":"Observatoire National de la Santé de la Population - Ministère de la Santé et de l'Hygiène Publique (Burkina Faso)","given":""}],"accessed":{"date-parts":[["2023",8,8]]}}}],"schema":"https://github.com/citation-style-language/schema/raw/master/csl-citation.json"}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[16]</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Les soins de santé sont fournis par des médecins (généralistes et spécialistes), des chirurgiens-dentistes, des attachés de santé, des infirmiers, des sage-femmes et maïeuticiens, et des accoucheuses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{"citationID":"yitODcv9","properties":{"formattedCitation":"[17]","plainCitation":"[17]","noteIndex":0},"citationItems":[{"id":"dRkYMcI2/q22jWbXQ","uris":["http://zotero.org/users/10711475/items/EI9NEUXB"],"itemData":{"id":26,"type":"document","language":"fr","title":"Annuaire Statistique 2021","author":[{"family":"Ministère de la Santé et de l'Hygiène Publique - Burkina Faso","given":""}],"issued":{"date-parts":[["2022",4]]}}}],"schema":"https://github.com/citation-style-language/schema/raw/master/csl-citation.json"}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[17]</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w:t>
      </w:r>
    </w:p>
    <w:p w14:paraId="4893E90A" w14:textId="1C7D42B0" w:rsidR="009814C2" w:rsidRPr="00935B2C" w:rsidRDefault="004135F0" w:rsidP="00407063">
      <w:pPr>
        <w:pStyle w:val="Titre2"/>
        <w:rPr>
          <w:rFonts w:ascii="Arial Narrow" w:hAnsi="Arial Narrow"/>
          <w:color w:val="1F497D" w:themeColor="text2"/>
          <w:sz w:val="20"/>
          <w:szCs w:val="20"/>
          <w:lang w:val="fr-FR"/>
        </w:rPr>
      </w:pPr>
      <w:bookmarkStart w:id="4" w:name="_Toc153240300"/>
      <w:r w:rsidRPr="004135F0">
        <w:rPr>
          <w:rFonts w:ascii="Arial Narrow" w:hAnsi="Arial Narrow"/>
          <w:color w:val="1F497D" w:themeColor="text2"/>
          <w:sz w:val="20"/>
          <w:szCs w:val="20"/>
          <w:lang w:val="fr-FR"/>
        </w:rPr>
        <w:lastRenderedPageBreak/>
        <w:t>Population d’étude</w:t>
      </w:r>
      <w:bookmarkEnd w:id="4"/>
      <w:r w:rsidRPr="004135F0">
        <w:rPr>
          <w:rFonts w:ascii="Arial Narrow" w:hAnsi="Arial Narrow"/>
          <w:color w:val="1F497D" w:themeColor="text2"/>
          <w:sz w:val="20"/>
          <w:szCs w:val="20"/>
          <w:lang w:val="fr-FR"/>
        </w:rPr>
        <w:t xml:space="preserve"> et échantillonnage</w:t>
      </w:r>
    </w:p>
    <w:p w14:paraId="363F6005"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Les PS dans les formations sanitaires au Burkina Faso étaient éligibles pour cette étude. Les étudiants et stagiaires en médecine et en chirurgie dentaire, de même que les stagiaires en soins infirmiers n’étaient pas éligibles. Pour le calcul de la taille d’échantillon, nous avons fait l’hypothèse que 50% de notre population d’étude avait une bonne connaissance des précautions standards, avec une marge d’erreur de 5%.  En appliquant la formule ci-dessous avec une erreur de première espèce de 5%, la taille minimale attendue de notre échantillon était 384 participants. </w:t>
      </w:r>
    </w:p>
    <w:p w14:paraId="38537BE7" w14:textId="1962FD47" w:rsidR="004135F0" w:rsidRPr="004135F0" w:rsidRDefault="004135F0" w:rsidP="004135F0">
      <w:pPr>
        <w:spacing w:after="0"/>
        <w:jc w:val="both"/>
        <w:rPr>
          <w:rFonts w:ascii="Arial Narrow" w:hAnsi="Arial Narrow" w:cs="Times New Roman"/>
          <w:sz w:val="20"/>
          <w:szCs w:val="20"/>
          <w:lang w:val="fr-FR"/>
        </w:rPr>
      </w:pPr>
      <m:oMathPara>
        <m:oMath>
          <m:r>
            <w:rPr>
              <w:rFonts w:ascii="Cambria Math" w:hAnsi="Cambria Math" w:cs="Times New Roman"/>
              <w:sz w:val="20"/>
              <w:szCs w:val="20"/>
              <w:lang w:val="fr-FR"/>
            </w:rPr>
            <m:t xml:space="preserve"> n= </m:t>
          </m:r>
          <m:f>
            <m:fPr>
              <m:ctrlPr>
                <w:rPr>
                  <w:rFonts w:ascii="Cambria Math" w:hAnsi="Cambria Math" w:cs="Times New Roman"/>
                  <w:i/>
                  <w:sz w:val="20"/>
                  <w:szCs w:val="20"/>
                  <w:lang w:val="fr-FR"/>
                </w:rPr>
              </m:ctrlPr>
            </m:fPr>
            <m:num>
              <m:sSup>
                <m:sSupPr>
                  <m:ctrlPr>
                    <w:rPr>
                      <w:rFonts w:ascii="Cambria Math" w:hAnsi="Cambria Math" w:cs="Times New Roman"/>
                      <w:i/>
                      <w:sz w:val="20"/>
                      <w:szCs w:val="20"/>
                      <w:lang w:val="fr-FR"/>
                    </w:rPr>
                  </m:ctrlPr>
                </m:sSupPr>
                <m:e>
                  <m:r>
                    <w:rPr>
                      <w:rFonts w:ascii="Cambria Math" w:hAnsi="Cambria Math" w:cs="Times New Roman"/>
                      <w:sz w:val="20"/>
                      <w:szCs w:val="20"/>
                      <w:lang w:val="fr-FR"/>
                    </w:rPr>
                    <m:t>Z</m:t>
                  </m:r>
                </m:e>
                <m:sup>
                  <m:r>
                    <w:rPr>
                      <w:rFonts w:ascii="Cambria Math" w:hAnsi="Cambria Math" w:cs="Times New Roman"/>
                      <w:sz w:val="20"/>
                      <w:szCs w:val="20"/>
                      <w:lang w:val="fr-FR"/>
                    </w:rPr>
                    <m:t>2</m:t>
                  </m:r>
                </m:sup>
              </m:sSup>
              <m:r>
                <w:rPr>
                  <w:rFonts w:ascii="Cambria Math" w:hAnsi="Cambria Math" w:cs="Times New Roman"/>
                  <w:sz w:val="20"/>
                  <w:szCs w:val="20"/>
                  <w:lang w:val="fr-FR"/>
                </w:rPr>
                <m:t>P</m:t>
              </m:r>
              <m:d>
                <m:dPr>
                  <m:ctrlPr>
                    <w:rPr>
                      <w:rFonts w:ascii="Cambria Math" w:hAnsi="Cambria Math" w:cs="Times New Roman"/>
                      <w:i/>
                      <w:sz w:val="20"/>
                      <w:szCs w:val="20"/>
                      <w:lang w:val="fr-FR"/>
                    </w:rPr>
                  </m:ctrlPr>
                </m:dPr>
                <m:e>
                  <m:r>
                    <w:rPr>
                      <w:rFonts w:ascii="Cambria Math" w:hAnsi="Cambria Math" w:cs="Times New Roman"/>
                      <w:sz w:val="20"/>
                      <w:szCs w:val="20"/>
                      <w:lang w:val="fr-FR"/>
                    </w:rPr>
                    <m:t>1-p</m:t>
                  </m:r>
                </m:e>
              </m:d>
            </m:num>
            <m:den>
              <m:sSup>
                <m:sSupPr>
                  <m:ctrlPr>
                    <w:rPr>
                      <w:rFonts w:ascii="Cambria Math" w:hAnsi="Cambria Math" w:cs="Times New Roman"/>
                      <w:i/>
                      <w:sz w:val="20"/>
                      <w:szCs w:val="20"/>
                      <w:lang w:val="fr-FR"/>
                    </w:rPr>
                  </m:ctrlPr>
                </m:sSupPr>
                <m:e>
                  <m:r>
                    <w:rPr>
                      <w:rFonts w:ascii="Cambria Math" w:hAnsi="Cambria Math" w:cs="Times New Roman"/>
                      <w:sz w:val="20"/>
                      <w:szCs w:val="20"/>
                      <w:lang w:val="fr-FR"/>
                    </w:rPr>
                    <m:t>δ</m:t>
                  </m:r>
                </m:e>
                <m:sup>
                  <m:r>
                    <w:rPr>
                      <w:rFonts w:ascii="Cambria Math" w:hAnsi="Cambria Math" w:cs="Times New Roman"/>
                      <w:sz w:val="20"/>
                      <w:szCs w:val="20"/>
                      <w:lang w:val="fr-FR"/>
                    </w:rPr>
                    <m:t>2</m:t>
                  </m:r>
                </m:sup>
              </m:sSup>
            </m:den>
          </m:f>
        </m:oMath>
      </m:oMathPara>
    </w:p>
    <w:p w14:paraId="75C52FD2" w14:textId="77777777" w:rsidR="004135F0" w:rsidRPr="004135F0" w:rsidRDefault="004135F0" w:rsidP="004135F0">
      <w:pPr>
        <w:spacing w:after="0"/>
        <w:jc w:val="both"/>
        <w:rPr>
          <w:rFonts w:ascii="Arial Narrow" w:hAnsi="Arial Narrow" w:cs="Times New Roman"/>
          <w:i/>
          <w:iCs/>
          <w:sz w:val="20"/>
          <w:szCs w:val="20"/>
          <w:lang w:val="fr-FR"/>
        </w:rPr>
      </w:pPr>
      <w:proofErr w:type="gramStart"/>
      <w:r w:rsidRPr="004135F0">
        <w:rPr>
          <w:rFonts w:ascii="Arial Narrow" w:hAnsi="Arial Narrow" w:cs="Times New Roman"/>
          <w:i/>
          <w:iCs/>
          <w:sz w:val="20"/>
          <w:szCs w:val="20"/>
          <w:lang w:val="fr-FR"/>
        </w:rPr>
        <w:t>n</w:t>
      </w:r>
      <w:proofErr w:type="gramEnd"/>
      <w:r w:rsidRPr="004135F0">
        <w:rPr>
          <w:rFonts w:ascii="Arial Narrow" w:hAnsi="Arial Narrow" w:cs="Times New Roman"/>
          <w:i/>
          <w:iCs/>
          <w:sz w:val="20"/>
          <w:szCs w:val="20"/>
          <w:lang w:val="fr-FR"/>
        </w:rPr>
        <w:t xml:space="preserve"> : taille de l’échantillon </w:t>
      </w:r>
    </w:p>
    <w:p w14:paraId="28C88280" w14:textId="77777777" w:rsidR="004135F0" w:rsidRPr="004135F0" w:rsidRDefault="004135F0" w:rsidP="004135F0">
      <w:pPr>
        <w:spacing w:after="0"/>
        <w:jc w:val="both"/>
        <w:rPr>
          <w:rFonts w:ascii="Arial Narrow" w:hAnsi="Arial Narrow" w:cs="Times New Roman"/>
          <w:i/>
          <w:iCs/>
          <w:sz w:val="20"/>
          <w:szCs w:val="20"/>
          <w:lang w:val="fr-FR"/>
        </w:rPr>
      </w:pPr>
      <w:r w:rsidRPr="004135F0">
        <w:rPr>
          <w:rFonts w:ascii="Arial Narrow" w:hAnsi="Arial Narrow" w:cs="Times New Roman"/>
          <w:i/>
          <w:iCs/>
          <w:sz w:val="20"/>
          <w:szCs w:val="20"/>
          <w:lang w:val="fr-FR"/>
        </w:rPr>
        <w:t>Z : 1.96 pour un risque de première espèce de 5%</w:t>
      </w:r>
    </w:p>
    <w:p w14:paraId="2F43420A" w14:textId="77777777" w:rsidR="004135F0" w:rsidRPr="004135F0" w:rsidRDefault="004135F0" w:rsidP="004135F0">
      <w:pPr>
        <w:spacing w:after="0"/>
        <w:jc w:val="both"/>
        <w:rPr>
          <w:rFonts w:ascii="Arial Narrow" w:hAnsi="Arial Narrow" w:cs="Times New Roman"/>
          <w:i/>
          <w:iCs/>
          <w:sz w:val="20"/>
          <w:szCs w:val="20"/>
          <w:lang w:val="fr-FR"/>
        </w:rPr>
      </w:pPr>
      <w:proofErr w:type="gramStart"/>
      <w:r w:rsidRPr="004135F0">
        <w:rPr>
          <w:rFonts w:ascii="Arial Narrow" w:hAnsi="Arial Narrow" w:cs="Times New Roman"/>
          <w:i/>
          <w:iCs/>
          <w:sz w:val="20"/>
          <w:szCs w:val="20"/>
          <w:lang w:val="fr-FR"/>
        </w:rPr>
        <w:t>p</w:t>
      </w:r>
      <w:proofErr w:type="gramEnd"/>
      <w:r w:rsidRPr="004135F0">
        <w:rPr>
          <w:rFonts w:ascii="Arial Narrow" w:hAnsi="Arial Narrow" w:cs="Times New Roman"/>
          <w:i/>
          <w:iCs/>
          <w:sz w:val="20"/>
          <w:szCs w:val="20"/>
          <w:lang w:val="fr-FR"/>
        </w:rPr>
        <w:t xml:space="preserve"> : proportion attendue (50%)</w:t>
      </w:r>
    </w:p>
    <w:p w14:paraId="0F5707CC" w14:textId="424955CB" w:rsidR="00EF4244" w:rsidRPr="004135F0" w:rsidRDefault="004135F0" w:rsidP="004135F0">
      <w:pPr>
        <w:spacing w:after="0"/>
        <w:jc w:val="both"/>
        <w:rPr>
          <w:i/>
          <w:iCs/>
          <w:sz w:val="18"/>
          <w:szCs w:val="18"/>
          <w:lang w:val="fr-FR"/>
        </w:rPr>
      </w:pPr>
      <w:proofErr w:type="gramStart"/>
      <w:r w:rsidRPr="004135F0">
        <w:rPr>
          <w:rFonts w:ascii="Arial Narrow" w:hAnsi="Arial Narrow" w:cs="Times New Roman"/>
          <w:i/>
          <w:iCs/>
          <w:sz w:val="20"/>
          <w:szCs w:val="20"/>
          <w:lang w:val="fr-FR"/>
        </w:rPr>
        <w:t>δ</w:t>
      </w:r>
      <w:proofErr w:type="gramEnd"/>
      <w:r w:rsidRPr="004135F0">
        <w:rPr>
          <w:rFonts w:ascii="Arial Narrow" w:hAnsi="Arial Narrow" w:cs="Times New Roman"/>
          <w:i/>
          <w:iCs/>
          <w:sz w:val="20"/>
          <w:szCs w:val="20"/>
          <w:lang w:val="fr-FR"/>
        </w:rPr>
        <w:t xml:space="preserve"> : marge d’erreur (5%)</w:t>
      </w:r>
    </w:p>
    <w:p w14:paraId="7DA7AB09" w14:textId="31A01D96" w:rsidR="009814C2" w:rsidRPr="00935B2C" w:rsidRDefault="004135F0" w:rsidP="00407063">
      <w:pPr>
        <w:pStyle w:val="Titre2"/>
        <w:rPr>
          <w:rFonts w:ascii="Arial Narrow" w:hAnsi="Arial Narrow"/>
          <w:color w:val="1F497D" w:themeColor="text2"/>
          <w:sz w:val="20"/>
          <w:szCs w:val="20"/>
          <w:lang w:val="fr-FR"/>
        </w:rPr>
      </w:pPr>
      <w:bookmarkStart w:id="5" w:name="_Toc153240304"/>
      <w:r w:rsidRPr="004135F0">
        <w:rPr>
          <w:rFonts w:ascii="Arial Narrow" w:hAnsi="Arial Narrow"/>
          <w:color w:val="1F497D" w:themeColor="text2"/>
          <w:sz w:val="20"/>
          <w:szCs w:val="20"/>
          <w:lang w:val="fr-FR"/>
        </w:rPr>
        <w:t>Collecte des données</w:t>
      </w:r>
      <w:bookmarkEnd w:id="5"/>
    </w:p>
    <w:p w14:paraId="5F80D52D"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L’outil de collecte des données était un questionnaire rédigé en français auto-administré et accessible en ligne. Le lien d’accès au questionnaire a été envoyé dans différents forums de discussion des agents de santé au Burkina Faso. Les données enregistrées sur le serveur entre le 18 septembre et le 1er octobre 2023 ont été prises en compte dans l’analyse. </w:t>
      </w:r>
    </w:p>
    <w:p w14:paraId="6C7F0D7D" w14:textId="77777777" w:rsidR="004135F0" w:rsidRPr="004135F0" w:rsidRDefault="004135F0" w:rsidP="004135F0">
      <w:pPr>
        <w:spacing w:after="0"/>
        <w:jc w:val="both"/>
        <w:rPr>
          <w:rFonts w:ascii="Arial Narrow" w:hAnsi="Arial Narrow" w:cs="Times New Roman"/>
          <w:sz w:val="20"/>
          <w:szCs w:val="20"/>
          <w:lang w:val="fr-FR"/>
        </w:rPr>
      </w:pPr>
      <w:bookmarkStart w:id="6" w:name="_Toc153240303"/>
      <w:r w:rsidRPr="004135F0">
        <w:rPr>
          <w:rFonts w:ascii="Arial Narrow" w:hAnsi="Arial Narrow" w:cs="Times New Roman"/>
          <w:sz w:val="20"/>
          <w:szCs w:val="20"/>
          <w:lang w:val="fr-FR"/>
        </w:rPr>
        <w:t>Variables</w:t>
      </w:r>
      <w:bookmarkEnd w:id="6"/>
      <w:r w:rsidRPr="004135F0">
        <w:rPr>
          <w:rFonts w:ascii="Arial Narrow" w:hAnsi="Arial Narrow" w:cs="Times New Roman"/>
          <w:sz w:val="20"/>
          <w:szCs w:val="20"/>
          <w:lang w:val="fr-FR"/>
        </w:rPr>
        <w:t xml:space="preserve"> de l’étude</w:t>
      </w:r>
    </w:p>
    <w:p w14:paraId="6135750F"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Pour l’évaluation des connaissances des PS sur les précautions standards, nous avons utilisé un outil développé par l’OMS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rXUGbohE","properties":{"formattedCitation":"[18]","plainCitation":"[18]","noteIndex":0},"citationItems":[{"id":"dRkYMcI2/qGrMkRUq","uris":["http://zotero.org/users/10711475/items/CAWHDKHT"],"itemData":{"id":366,"type":"document","title":"hand-hygiene-knowledge-questionnaire.doc","URL":"https://cdn.who.int/media/docs/default-source/integrated-health-services-(ihs)/hand-hygiene/monitoring/surveyform/hand-hygiene-knowledge-questionnaire.doc?sfvrsn=dbb4da65_2","author":[{"family":"Organisation Mondiale de la Santé (OMS)","given":""}],"issued":{"date-parts":[["2009",8]]}}}],"schema":"https://github.com/citation-style-language/schema/raw/master/csl-citation.json"}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[18]</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Les six questions ont été traduites de l’anglais au français. Il s’agit d’un outil validé et ayant été utilisé dans une étude menée en Inde en 2017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C1Gyt27F","properties":{"formattedCitation":"[19]","plainCitation":"[19]","noteIndex":0},"citationItems":[{"id":"dRkYMcI2/VFVSlIf0","uris":["http://zotero.org/users/10711475/items/VZ6J22IM"],"itemData":{"id":365,"type":"article-journal","container-title":"Cureus","issue":"7","note":"publisher: Cureus","source":"Google Scholar","title":"Hand hygiene practices among Indian medical undergraduates: a questionnaire-based survey","title-short":"Hand hygiene practices among Indian medical undergraduates","volume":"9","author":[{"family":"Modi","given":"Pranav D."},{"family":"Kumar","given":"Pooja"},{"family":"Solanki","given":"Rajavi"},{"family":"Modi","given":"Janhavi"},{"family":"Chandramani","given":"Srinath"},{"family":"Gill","given":"Niharika"}],"issued":{"date-parts":[["2017"]]}}}],"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[19]</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Nous avons défini pour l’étude un score de prévention des infections (SPI). Chaque bonne réponse aux questions d’évaluation des connaissances était notée 1 point. Chaque mauvaise réponse était notée 0. Le total du score de connaissance variait entre 0 et 6. Le SPI a été dichotomisé pour créer la variable « bonne connaissance » (BC) lorsque le score de SPI était supérieur ou égal à 3 sur 6.</w:t>
      </w:r>
    </w:p>
    <w:p w14:paraId="5AD8BC01"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Les variables utilisées pour l’évaluation des pratiques ont été extraites de l’outil décrivant les précautions standards </w:t>
      </w:r>
      <w:r w:rsidRPr="004135F0">
        <w:rPr>
          <w:rFonts w:ascii="Arial Narrow" w:hAnsi="Arial Narrow" w:cs="Times New Roman"/>
          <w:sz w:val="20"/>
          <w:szCs w:val="20"/>
          <w:lang w:val="fr-FR"/>
        </w:rPr>
        <w:fldChar w:fldCharType="begin"/>
      </w:r>
      <w:r w:rsidRPr="004135F0">
        <w:rPr>
          <w:rFonts w:ascii="Arial Narrow" w:hAnsi="Arial Narrow" w:cs="Times New Roman"/>
          <w:sz w:val="20"/>
          <w:szCs w:val="20"/>
          <w:lang w:val="fr-FR"/>
        </w:rPr>
        <w:instrText xml:space="preserve"> ADDIN ZOTERO_ITEM CSL_CITATION {"citationID":"sC5hk4MN","properties":{"formattedCitation":"[13]","plainCitation":"[13]","noteIndex":0},"citationItems":[{"id":5360,"uris":["http://zotero.org/groups/5671772/items/TUNXP92Q"],"itemData":{"id":5360,"type":"webpage","abstract":"Standard precautions aim to protect both health workers and patients by reducing the risk of transmission of microorganisms from both recognized and unrecognized sources. They are the minimum standard of infection prevention and control practices that should be used by all health-care workers, during the care of all patients, at all times, in all settings. When applied consistently, standard precautions can prevent the transmission of microorganisms between patients, health workers and the environment. This aide-memoire presents a concise overview of important advice for implementation and key elements at a glance.","language":"en","title":"Standard precautions for the prevention and control of infections: aide-memoire","title-short":"Standard precautions for the prevention and control of infections","URL":"https://www.who.int/publications/i/item/WHO-UHL-IHS-IPC-2022.1","accessed":{"date-parts":[["2024",9,22]]}}}],"schema":"https://github.com/citation-style-language/schema/raw/master/csl-citation.json"} </w:instrText>
      </w:r>
      <w:r w:rsidRPr="004135F0">
        <w:rPr>
          <w:rFonts w:ascii="Arial Narrow" w:hAnsi="Arial Narrow" w:cs="Times New Roman"/>
          <w:sz w:val="20"/>
          <w:szCs w:val="20"/>
          <w:lang w:val="fr-FR"/>
        </w:rPr>
        <w:fldChar w:fldCharType="separate"/>
      </w:r>
      <w:r w:rsidRPr="004135F0">
        <w:rPr>
          <w:rFonts w:ascii="Arial Narrow" w:hAnsi="Arial Narrow" w:cs="Times New Roman"/>
          <w:sz w:val="20"/>
          <w:szCs w:val="20"/>
          <w:lang w:val="fr-FR"/>
        </w:rPr>
        <w:t>[13]</w:t>
      </w:r>
      <w:r w:rsidRPr="004135F0">
        <w:rPr>
          <w:rFonts w:ascii="Arial Narrow" w:hAnsi="Arial Narrow" w:cs="Times New Roman"/>
          <w:sz w:val="20"/>
          <w:szCs w:val="20"/>
          <w:lang w:val="fr-FR"/>
        </w:rPr>
        <w:fldChar w:fldCharType="end"/>
      </w:r>
      <w:r w:rsidRPr="004135F0">
        <w:rPr>
          <w:rFonts w:ascii="Arial Narrow" w:hAnsi="Arial Narrow" w:cs="Times New Roman"/>
          <w:sz w:val="20"/>
          <w:szCs w:val="20"/>
          <w:lang w:val="fr-FR"/>
        </w:rPr>
        <w:t xml:space="preserve">. Ces variables exploraient les domaines ci-dessous : </w:t>
      </w:r>
    </w:p>
    <w:p w14:paraId="47B1605C" w14:textId="77777777" w:rsidR="004135F0" w:rsidRPr="004135F0" w:rsidRDefault="004135F0" w:rsidP="004135F0">
      <w:pPr>
        <w:numPr>
          <w:ilvl w:val="0"/>
          <w:numId w:val="12"/>
        </w:num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Le lavage et/ou la désinfection des mains (immédiatement avant tout contact direct avec un patient, avant tout soin propre ou tout acte invasif, entre un soin contaminant et un soin propre ou un acte invasif chez un même patient, après le dernier contact direct ou soin auprès d’un patient, après tout contact avec des liquides biologiques, avant de mettre des gants pour un soin, immédiatement après avoir retiré des gants). </w:t>
      </w:r>
    </w:p>
    <w:p w14:paraId="7ACA75C5" w14:textId="77777777" w:rsidR="004135F0" w:rsidRPr="004135F0" w:rsidRDefault="004135F0" w:rsidP="004135F0">
      <w:pPr>
        <w:numPr>
          <w:ilvl w:val="0"/>
          <w:numId w:val="12"/>
        </w:num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 Le port de gants (lorsqu’il existait un risque de contact avec du sang ou tout autre produit d’origine humaine, lorsqu’il existait un risque de contact avec les muqueuses ou la peau lésée du patient, lorsqu’il existait un risque de piqure, lors de manipulation de tubes de prélèvements biologiques, linges, ou matériels souillés, lors de tout soin lorsque les mains du soignant comportaient des lésions).</w:t>
      </w:r>
    </w:p>
    <w:p w14:paraId="44150A4A" w14:textId="77777777" w:rsidR="004135F0" w:rsidRPr="004135F0" w:rsidRDefault="004135F0" w:rsidP="004135F0">
      <w:pPr>
        <w:numPr>
          <w:ilvl w:val="0"/>
          <w:numId w:val="12"/>
        </w:num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Le port de masque (lors de soins avec risque de projection de sang ou autres liquides biologiques, si le port de masque était associé au port de lunettes de protection lors de soins avec risque de projection de sang ou autres liquides biologiques).</w:t>
      </w:r>
    </w:p>
    <w:p w14:paraId="76389F4F"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Il s’agissait d’explorer si ces pratiques étaient systématiques, fréquentes, rares ou exceptionnelles lors des soins. La bonne recommandation est de réaliser systématiquement ses gestes lors des soins. </w:t>
      </w:r>
    </w:p>
    <w:p w14:paraId="75447F26"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Nous avons évalué également les pratiques suivantes : </w:t>
      </w:r>
    </w:p>
    <w:p w14:paraId="5FCED2E8" w14:textId="77777777" w:rsidR="004135F0" w:rsidRPr="004135F0" w:rsidRDefault="004135F0" w:rsidP="004135F0">
      <w:pPr>
        <w:numPr>
          <w:ilvl w:val="0"/>
          <w:numId w:val="13"/>
        </w:num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L’hygiène de la tenue professionnelle (la tenue professionnelle doit être changée quotidiennement, la tenue professionnelle doit </w:t>
      </w:r>
      <w:proofErr w:type="spellStart"/>
      <w:r w:rsidRPr="004135F0">
        <w:rPr>
          <w:rFonts w:ascii="Arial Narrow" w:hAnsi="Arial Narrow" w:cs="Times New Roman"/>
          <w:sz w:val="20"/>
          <w:szCs w:val="20"/>
          <w:lang w:val="fr-FR"/>
        </w:rPr>
        <w:t>etre</w:t>
      </w:r>
      <w:proofErr w:type="spellEnd"/>
      <w:r w:rsidRPr="004135F0">
        <w:rPr>
          <w:rFonts w:ascii="Arial Narrow" w:hAnsi="Arial Narrow" w:cs="Times New Roman"/>
          <w:sz w:val="20"/>
          <w:szCs w:val="20"/>
          <w:lang w:val="fr-FR"/>
        </w:rPr>
        <w:t xml:space="preserve"> changée chaque fois qu’elle est souillée, la tenue professionnelle utilisée doit être lavée et/ou désinfectée quotidiennement, les cheveux doivent être systématiquement protégés, le port de surblouse ou de tablier plastique doit être systématique chaque fois qu’il existe un risque de projection ou d’aérosolisation de sang ou autres liquides biologiques). Il s’agissait d’explorer si le PS adoptait ses pratiques recommandées.  </w:t>
      </w:r>
    </w:p>
    <w:p w14:paraId="1C7E0319" w14:textId="77777777" w:rsidR="004135F0" w:rsidRPr="004135F0" w:rsidRDefault="004135F0" w:rsidP="004135F0">
      <w:pPr>
        <w:numPr>
          <w:ilvl w:val="0"/>
          <w:numId w:val="13"/>
        </w:num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lastRenderedPageBreak/>
        <w:t xml:space="preserve">La gestion adéquate du matériel piquant ou tranchant (recapuchonner les aiguilles, désadapter les aiguilles à la main). Il s’agissait d’explorer si le PS n’adoptait pas ses pratiques non recommandées. </w:t>
      </w:r>
    </w:p>
    <w:p w14:paraId="29499061" w14:textId="77777777" w:rsidR="004135F0" w:rsidRPr="004135F0" w:rsidRDefault="004135F0" w:rsidP="004135F0">
      <w:pPr>
        <w:numPr>
          <w:ilvl w:val="0"/>
          <w:numId w:val="13"/>
        </w:num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 L’hygiène du matériel et des surfaces souillées (nettoyage et une désinfection systématique des surfaces souillées avant tout soin, vérification systématique de la stérilisation ou désinfection du matériel réutilisable avant tout soin). Il s’agissait d’explorer si le PS adoptait ses pratiques recommandées.  </w:t>
      </w:r>
    </w:p>
    <w:p w14:paraId="063498DB" w14:textId="77777777" w:rsidR="004135F0" w:rsidRPr="004135F0" w:rsidRDefault="004135F0" w:rsidP="004135F0">
      <w:pPr>
        <w:spacing w:after="0"/>
        <w:jc w:val="both"/>
        <w:rPr>
          <w:rFonts w:ascii="Arial Narrow" w:hAnsi="Arial Narrow" w:cs="Times New Roman"/>
          <w:sz w:val="20"/>
          <w:szCs w:val="20"/>
          <w:lang w:val="fr-FR"/>
        </w:rPr>
      </w:pPr>
      <w:r w:rsidRPr="004135F0">
        <w:rPr>
          <w:rFonts w:ascii="Arial Narrow" w:hAnsi="Arial Narrow" w:cs="Times New Roman"/>
          <w:sz w:val="20"/>
          <w:szCs w:val="20"/>
          <w:lang w:val="fr-FR"/>
        </w:rPr>
        <w:t xml:space="preserve">Pour chacune de ses pratiques explorées, nous avons calculé la moyenne des proportions de pratiques conformes aux recommandations standards rapportées par les PS. Par exemple pour le lavage des mains, nous avons fait la somme des proportions de réponses « systématiques » divisées par 7. </w:t>
      </w:r>
    </w:p>
    <w:p w14:paraId="034CA407" w14:textId="2AD8C534" w:rsidR="00644773" w:rsidRPr="00935B2C" w:rsidRDefault="004135F0" w:rsidP="004135F0">
      <w:pPr>
        <w:spacing w:after="0"/>
        <w:jc w:val="both"/>
        <w:rPr>
          <w:sz w:val="18"/>
          <w:szCs w:val="18"/>
          <w:lang w:val="fr-FR"/>
        </w:rPr>
      </w:pPr>
      <w:r w:rsidRPr="004135F0">
        <w:rPr>
          <w:rFonts w:ascii="Arial Narrow" w:hAnsi="Arial Narrow" w:cs="Times New Roman"/>
          <w:sz w:val="20"/>
          <w:szCs w:val="20"/>
          <w:lang w:val="fr-FR"/>
        </w:rPr>
        <w:t>Nous avons collecté également les données telles que la profession de l’agent de santé (médecin, chirurgien-dentiste, attaché de santé, infirmier, sage-femme ou maïeuticien, accoucheuse), son sexe (masculin ou féminin), sa localité, sa structure, l’ancienneté (en années de service), et le fait d’avoir bénéficié d’une formation en prévention des infections (oui/non).</w:t>
      </w:r>
    </w:p>
    <w:p w14:paraId="6BC92838" w14:textId="5D5F9573" w:rsidR="009814C2" w:rsidRPr="00935B2C" w:rsidRDefault="00F53A43" w:rsidP="00407063">
      <w:pPr>
        <w:pStyle w:val="Titre2"/>
        <w:rPr>
          <w:rFonts w:ascii="Arial Narrow" w:hAnsi="Arial Narrow"/>
          <w:color w:val="1F497D" w:themeColor="text2"/>
          <w:sz w:val="20"/>
          <w:szCs w:val="20"/>
          <w:lang w:val="fr-FR"/>
        </w:rPr>
      </w:pPr>
      <w:r w:rsidRPr="00935B2C">
        <w:rPr>
          <w:rFonts w:ascii="Arial Narrow" w:hAnsi="Arial Narrow"/>
          <w:color w:val="1F497D" w:themeColor="text2"/>
          <w:sz w:val="20"/>
          <w:szCs w:val="20"/>
          <w:lang w:val="fr-FR"/>
        </w:rPr>
        <w:t>Traitement et analyse des données</w:t>
      </w:r>
    </w:p>
    <w:p w14:paraId="796AEF7D" w14:textId="48715F16" w:rsidR="00F53A43" w:rsidRPr="00935B2C" w:rsidRDefault="004135F0" w:rsidP="00F53A43">
      <w:pPr>
        <w:spacing w:after="0"/>
        <w:jc w:val="both"/>
        <w:rPr>
          <w:sz w:val="18"/>
          <w:szCs w:val="18"/>
          <w:lang w:val="fr-FR"/>
        </w:rPr>
      </w:pPr>
      <w:r w:rsidRPr="004135F0">
        <w:rPr>
          <w:rFonts w:ascii="Arial Narrow" w:hAnsi="Arial Narrow" w:cs="Times New Roman"/>
          <w:sz w:val="20"/>
          <w:szCs w:val="20"/>
          <w:lang w:val="fr-FR"/>
        </w:rPr>
        <w:t>Les variables qualitatives ont été décrites par leurs effectifs et pourcentages. Les variables quantitatives ont été décrites par leur médiane et l’intervalle interquartile. Les facteurs associés à la bonne connaissance des précautions standards ont été étudiés par un modèle de régression logistique multivariable. Le seuil de signification était fixé à 5%. Les analyses ont été réalisées avec le logiciel R (version 4.4.1).</w:t>
      </w:r>
    </w:p>
    <w:p w14:paraId="759FE1A4" w14:textId="58F08CB1" w:rsidR="009814C2" w:rsidRPr="00935B2C" w:rsidRDefault="00F53A43" w:rsidP="00407063">
      <w:pPr>
        <w:pStyle w:val="Titre2"/>
        <w:rPr>
          <w:rFonts w:ascii="Arial Narrow" w:hAnsi="Arial Narrow"/>
          <w:color w:val="1F497D" w:themeColor="text2"/>
          <w:sz w:val="20"/>
          <w:szCs w:val="20"/>
          <w:lang w:val="fr-FR"/>
        </w:rPr>
      </w:pPr>
      <w:r w:rsidRPr="00935B2C">
        <w:rPr>
          <w:rFonts w:ascii="Arial Narrow" w:hAnsi="Arial Narrow"/>
          <w:color w:val="1F497D" w:themeColor="text2"/>
          <w:sz w:val="20"/>
          <w:szCs w:val="20"/>
          <w:lang w:val="fr-FR"/>
        </w:rPr>
        <w:t>Aspects éthiques et déontologiques</w:t>
      </w:r>
    </w:p>
    <w:p w14:paraId="318C3ABC" w14:textId="74EBAB97" w:rsidR="00F53A43" w:rsidRPr="00935B2C" w:rsidRDefault="004135F0" w:rsidP="00F53A43">
      <w:pPr>
        <w:spacing w:after="0"/>
        <w:jc w:val="both"/>
        <w:rPr>
          <w:sz w:val="18"/>
          <w:szCs w:val="18"/>
          <w:lang w:val="fr-FR"/>
        </w:rPr>
      </w:pPr>
      <w:r w:rsidRPr="004135F0">
        <w:rPr>
          <w:rFonts w:ascii="Arial Narrow" w:hAnsi="Arial Narrow" w:cs="Times New Roman"/>
          <w:sz w:val="20"/>
          <w:szCs w:val="20"/>
          <w:lang w:val="fr-FR"/>
        </w:rPr>
        <w:t>Le protocole de cette étude a été approuvé par le Comité d’Ethique pour la Recherche en Santé (Délibération n° 2023-11-266). Avant la collecte des données, une information relative à la participation et à l’utilisation des données a été fournie aux potentiels participants et   leur consentement libre et éclairé a été obtenu. Le questionnaire était anonyme.</w:t>
      </w:r>
    </w:p>
    <w:p w14:paraId="465D8B4F" w14:textId="77777777" w:rsidR="00673FF8" w:rsidRPr="00935B2C" w:rsidRDefault="00000000" w:rsidP="00B34244">
      <w:pPr>
        <w:pStyle w:val="Titre1"/>
        <w:ind w:left="426" w:hanging="425"/>
        <w:rPr>
          <w:rFonts w:ascii="Arial Narrow" w:hAnsi="Arial Narrow"/>
          <w:sz w:val="24"/>
          <w:szCs w:val="24"/>
          <w:lang w:val="fr-FR"/>
        </w:rPr>
      </w:pPr>
      <w:r w:rsidRPr="00935B2C">
        <w:rPr>
          <w:rFonts w:ascii="Arial Narrow" w:hAnsi="Arial Narrow"/>
          <w:sz w:val="24"/>
          <w:szCs w:val="24"/>
          <w:lang w:val="fr-FR"/>
        </w:rPr>
        <w:t>Résultats</w:t>
      </w:r>
    </w:p>
    <w:p w14:paraId="19AA5348" w14:textId="68E9B394" w:rsidR="00407063" w:rsidRPr="00157B9E" w:rsidRDefault="003A30F5" w:rsidP="005B72EA">
      <w:pPr>
        <w:pStyle w:val="Titre2"/>
        <w:rPr>
          <w:rFonts w:ascii="Arial Narrow" w:hAnsi="Arial Narrow"/>
          <w:color w:val="1F497D" w:themeColor="text2"/>
          <w:sz w:val="20"/>
          <w:szCs w:val="20"/>
          <w:lang w:val="fr-FR"/>
        </w:rPr>
      </w:pPr>
      <w:r w:rsidRPr="00157B9E">
        <w:rPr>
          <w:rFonts w:ascii="Arial Narrow" w:hAnsi="Arial Narrow"/>
          <w:color w:val="1F497D" w:themeColor="text2"/>
          <w:sz w:val="20"/>
          <w:szCs w:val="20"/>
          <w:lang w:val="fr-FR"/>
        </w:rPr>
        <w:t>Caractéristiques de la population étudiée</w:t>
      </w:r>
    </w:p>
    <w:p w14:paraId="03A447DE" w14:textId="77777777" w:rsidR="004135F0" w:rsidRPr="004135F0" w:rsidRDefault="004135F0" w:rsidP="004135F0">
      <w:pPr>
        <w:jc w:val="both"/>
        <w:rPr>
          <w:rFonts w:ascii="Arial Narrow" w:hAnsi="Arial Narrow" w:cs="Times New Roman"/>
          <w:lang w:val="fr-FR"/>
        </w:rPr>
      </w:pPr>
      <w:r w:rsidRPr="004135F0">
        <w:rPr>
          <w:rFonts w:ascii="Arial Narrow" w:hAnsi="Arial Narrow" w:cs="Times New Roman"/>
          <w:sz w:val="20"/>
          <w:szCs w:val="20"/>
          <w:lang w:val="fr-FR"/>
        </w:rPr>
        <w:t>Entre le 18 septembre et le 1er octobre 2023, 963 PS ont répondu au questionnaire mis en ligne, et ont été inclus dans nos analyses. Le tableau 1 présente les caractéristiques des participants de notre étude. La majorité des participants étaient des femmes (580/963, 60%). Les infirmiers(</w:t>
      </w:r>
      <w:proofErr w:type="spellStart"/>
      <w:r w:rsidRPr="004135F0">
        <w:rPr>
          <w:rFonts w:ascii="Arial Narrow" w:hAnsi="Arial Narrow" w:cs="Times New Roman"/>
          <w:sz w:val="20"/>
          <w:szCs w:val="20"/>
          <w:lang w:val="fr-FR"/>
        </w:rPr>
        <w:t>ières</w:t>
      </w:r>
      <w:proofErr w:type="spellEnd"/>
      <w:r w:rsidRPr="004135F0">
        <w:rPr>
          <w:rFonts w:ascii="Arial Narrow" w:hAnsi="Arial Narrow" w:cs="Times New Roman"/>
          <w:sz w:val="20"/>
          <w:szCs w:val="20"/>
          <w:lang w:val="fr-FR"/>
        </w:rPr>
        <w:t>) (374/963, 39%) étaient majoritaires. Les directions régionales de santé les plus représentatives étaient les régions du Centre (289/963, 30%) et des Hauts Bassins (269/963, 27,9%). Les participants exerçaient pour la plupart au niveau CSPS (346/963, 36%) et la majorité avait entre une et deux années d’ancienneté (318/963, 33,02%). Plus de la moitié a déclaré n’avoir jamais bénéficié d’une formation sur la prévention des infections en milieu de soins (605/963, 62,8%).</w:t>
      </w:r>
    </w:p>
    <w:p w14:paraId="7A32BB8A" w14:textId="77777777" w:rsidR="004135F0" w:rsidRDefault="004135F0">
      <w:pPr>
        <w:rPr>
          <w:rFonts w:ascii="Arial Narrow" w:hAnsi="Arial Narrow" w:cs="Times New Roman"/>
          <w:b/>
          <w:bCs/>
          <w:color w:val="1F497D" w:themeColor="text2"/>
          <w:sz w:val="20"/>
          <w:szCs w:val="20"/>
          <w:lang w:val="fr-FR"/>
        </w:rPr>
      </w:pPr>
      <w:r>
        <w:rPr>
          <w:rFonts w:ascii="Arial Narrow" w:hAnsi="Arial Narrow" w:cs="Times New Roman"/>
          <w:b/>
          <w:bCs/>
          <w:color w:val="1F497D" w:themeColor="text2"/>
          <w:sz w:val="20"/>
          <w:szCs w:val="20"/>
          <w:lang w:val="fr-FR"/>
        </w:rPr>
        <w:br w:type="page"/>
      </w:r>
    </w:p>
    <w:p w14:paraId="62E1185C" w14:textId="5CC48517" w:rsidR="00F41091" w:rsidRDefault="004135F0" w:rsidP="004135F0">
      <w:pPr>
        <w:jc w:val="both"/>
        <w:rPr>
          <w:rFonts w:ascii="Arial Narrow" w:hAnsi="Arial Narrow" w:cs="Times New Roman"/>
          <w:sz w:val="20"/>
          <w:szCs w:val="20"/>
          <w:lang w:val="fr-FR"/>
        </w:rPr>
      </w:pPr>
      <w:r w:rsidRPr="004135F0">
        <w:rPr>
          <w:rFonts w:ascii="Arial Narrow" w:hAnsi="Arial Narrow" w:cs="Times New Roman"/>
          <w:b/>
          <w:bCs/>
          <w:color w:val="1F497D" w:themeColor="text2"/>
          <w:sz w:val="20"/>
          <w:szCs w:val="20"/>
          <w:lang w:val="fr-FR"/>
        </w:rPr>
        <w:lastRenderedPageBreak/>
        <w:t>Tableau 1</w:t>
      </w:r>
      <w:r w:rsidRPr="004135F0">
        <w:rPr>
          <w:rFonts w:ascii="Arial Narrow" w:hAnsi="Arial Narrow" w:cs="Times New Roman"/>
          <w:color w:val="1F497D" w:themeColor="text2"/>
          <w:sz w:val="20"/>
          <w:szCs w:val="20"/>
          <w:lang w:val="fr-FR"/>
        </w:rPr>
        <w:t xml:space="preserve"> </w:t>
      </w:r>
      <w:r w:rsidRPr="004135F0">
        <w:rPr>
          <w:rFonts w:ascii="Arial Narrow" w:hAnsi="Arial Narrow" w:cs="Times New Roman"/>
          <w:sz w:val="20"/>
          <w:szCs w:val="20"/>
          <w:lang w:val="fr-FR"/>
        </w:rPr>
        <w:t>:  Caractéristiques des prestataires de soins ayant participé à l'enquête, 18 Septembre au 1er Octobre 2023, Burkina Faso.</w:t>
      </w:r>
    </w:p>
    <w:tbl>
      <w:tblPr>
        <w:tblStyle w:val="Grilledutableau"/>
        <w:tblW w:w="0" w:type="auto"/>
        <w:tblLook w:val="04A0" w:firstRow="1" w:lastRow="0" w:firstColumn="1" w:lastColumn="0" w:noHBand="0" w:noVBand="1"/>
      </w:tblPr>
      <w:tblGrid>
        <w:gridCol w:w="5334"/>
        <w:gridCol w:w="1627"/>
        <w:gridCol w:w="1679"/>
      </w:tblGrid>
      <w:tr w:rsidR="004135F0" w:rsidRPr="004135F0" w14:paraId="065F58E6" w14:textId="77777777" w:rsidTr="00D13460">
        <w:trPr>
          <w:trHeight w:val="141"/>
        </w:trPr>
        <w:tc>
          <w:tcPr>
            <w:tcW w:w="5665" w:type="dxa"/>
            <w:tcBorders>
              <w:top w:val="single" w:sz="8" w:space="0" w:color="1F497D" w:themeColor="text2"/>
              <w:left w:val="nil"/>
              <w:bottom w:val="single" w:sz="8" w:space="0" w:color="1F497D" w:themeColor="text2"/>
              <w:right w:val="nil"/>
            </w:tcBorders>
            <w:vAlign w:val="center"/>
          </w:tcPr>
          <w:p w14:paraId="4E9C57A3" w14:textId="77777777" w:rsidR="004135F0" w:rsidRPr="004135F0" w:rsidRDefault="004135F0" w:rsidP="00777483">
            <w:pPr>
              <w:rPr>
                <w:rFonts w:ascii="Arial Narrow" w:hAnsi="Arial Narrow" w:cs="Times New Roman"/>
                <w:b/>
                <w:bCs/>
                <w:sz w:val="20"/>
                <w:szCs w:val="20"/>
              </w:rPr>
            </w:pPr>
            <w:r w:rsidRPr="004135F0">
              <w:rPr>
                <w:rFonts w:ascii="Arial Narrow" w:hAnsi="Arial Narrow" w:cs="Times New Roman"/>
                <w:b/>
                <w:bCs/>
                <w:sz w:val="20"/>
                <w:szCs w:val="20"/>
              </w:rPr>
              <w:t>Variables</w:t>
            </w:r>
          </w:p>
        </w:tc>
        <w:tc>
          <w:tcPr>
            <w:tcW w:w="1688" w:type="dxa"/>
            <w:tcBorders>
              <w:top w:val="single" w:sz="8" w:space="0" w:color="1F497D" w:themeColor="text2"/>
              <w:left w:val="nil"/>
              <w:bottom w:val="single" w:sz="8" w:space="0" w:color="1F497D" w:themeColor="text2"/>
              <w:right w:val="nil"/>
            </w:tcBorders>
            <w:vAlign w:val="center"/>
          </w:tcPr>
          <w:p w14:paraId="5EDADE9B" w14:textId="77777777" w:rsidR="004135F0" w:rsidRPr="004135F0" w:rsidRDefault="004135F0" w:rsidP="00777483">
            <w:pPr>
              <w:jc w:val="center"/>
              <w:rPr>
                <w:rFonts w:ascii="Arial Narrow" w:hAnsi="Arial Narrow" w:cs="Times New Roman"/>
                <w:b/>
                <w:bCs/>
                <w:sz w:val="20"/>
                <w:szCs w:val="20"/>
              </w:rPr>
            </w:pPr>
            <w:proofErr w:type="spellStart"/>
            <w:r w:rsidRPr="004135F0">
              <w:rPr>
                <w:rFonts w:ascii="Arial Narrow" w:hAnsi="Arial Narrow" w:cs="Times New Roman"/>
                <w:b/>
                <w:bCs/>
                <w:sz w:val="20"/>
                <w:szCs w:val="20"/>
              </w:rPr>
              <w:t>Effectifs</w:t>
            </w:r>
            <w:proofErr w:type="spellEnd"/>
          </w:p>
        </w:tc>
        <w:tc>
          <w:tcPr>
            <w:tcW w:w="1709" w:type="dxa"/>
            <w:tcBorders>
              <w:top w:val="single" w:sz="8" w:space="0" w:color="1F497D" w:themeColor="text2"/>
              <w:left w:val="nil"/>
              <w:bottom w:val="single" w:sz="8" w:space="0" w:color="1F497D" w:themeColor="text2"/>
              <w:right w:val="nil"/>
            </w:tcBorders>
            <w:vAlign w:val="center"/>
          </w:tcPr>
          <w:p w14:paraId="0D9ACAB6" w14:textId="77777777" w:rsidR="004135F0" w:rsidRPr="004135F0" w:rsidRDefault="004135F0" w:rsidP="00777483">
            <w:pPr>
              <w:jc w:val="center"/>
              <w:rPr>
                <w:rFonts w:ascii="Arial Narrow" w:hAnsi="Arial Narrow" w:cs="Times New Roman"/>
                <w:b/>
                <w:bCs/>
                <w:sz w:val="20"/>
                <w:szCs w:val="20"/>
              </w:rPr>
            </w:pPr>
            <w:proofErr w:type="spellStart"/>
            <w:r w:rsidRPr="004135F0">
              <w:rPr>
                <w:rFonts w:ascii="Arial Narrow" w:hAnsi="Arial Narrow" w:cs="Times New Roman"/>
                <w:b/>
                <w:bCs/>
                <w:sz w:val="20"/>
                <w:szCs w:val="20"/>
              </w:rPr>
              <w:t>Pourcentages</w:t>
            </w:r>
            <w:proofErr w:type="spellEnd"/>
          </w:p>
        </w:tc>
      </w:tr>
      <w:tr w:rsidR="004135F0" w:rsidRPr="004135F0" w14:paraId="4269F482" w14:textId="77777777" w:rsidTr="00D13460">
        <w:trPr>
          <w:trHeight w:val="145"/>
        </w:trPr>
        <w:tc>
          <w:tcPr>
            <w:tcW w:w="5665" w:type="dxa"/>
            <w:tcBorders>
              <w:top w:val="single" w:sz="8" w:space="0" w:color="1F497D" w:themeColor="text2"/>
              <w:left w:val="nil"/>
              <w:bottom w:val="nil"/>
              <w:right w:val="nil"/>
            </w:tcBorders>
            <w:vAlign w:val="center"/>
          </w:tcPr>
          <w:p w14:paraId="12E22C8D" w14:textId="77777777" w:rsidR="004135F0" w:rsidRPr="004135F0" w:rsidRDefault="004135F0" w:rsidP="00777483">
            <w:pPr>
              <w:rPr>
                <w:rFonts w:ascii="Arial Narrow" w:hAnsi="Arial Narrow" w:cs="Times New Roman"/>
                <w:b/>
                <w:bCs/>
                <w:sz w:val="20"/>
                <w:szCs w:val="20"/>
              </w:rPr>
            </w:pPr>
            <w:r w:rsidRPr="004135F0">
              <w:rPr>
                <w:rFonts w:ascii="Arial Narrow" w:hAnsi="Arial Narrow" w:cs="Times New Roman"/>
                <w:b/>
                <w:bCs/>
                <w:sz w:val="20"/>
                <w:szCs w:val="20"/>
              </w:rPr>
              <w:t>Sexe</w:t>
            </w:r>
          </w:p>
        </w:tc>
        <w:tc>
          <w:tcPr>
            <w:tcW w:w="1688" w:type="dxa"/>
            <w:tcBorders>
              <w:top w:val="single" w:sz="8" w:space="0" w:color="1F497D" w:themeColor="text2"/>
              <w:left w:val="nil"/>
              <w:bottom w:val="nil"/>
              <w:right w:val="nil"/>
            </w:tcBorders>
            <w:vAlign w:val="center"/>
          </w:tcPr>
          <w:p w14:paraId="09D3CB28" w14:textId="77777777" w:rsidR="004135F0" w:rsidRPr="004135F0" w:rsidRDefault="004135F0" w:rsidP="00777483">
            <w:pPr>
              <w:jc w:val="center"/>
              <w:rPr>
                <w:rFonts w:ascii="Arial Narrow" w:hAnsi="Arial Narrow" w:cs="Times New Roman"/>
                <w:sz w:val="20"/>
                <w:szCs w:val="20"/>
              </w:rPr>
            </w:pPr>
          </w:p>
        </w:tc>
        <w:tc>
          <w:tcPr>
            <w:tcW w:w="1709" w:type="dxa"/>
            <w:tcBorders>
              <w:top w:val="single" w:sz="8" w:space="0" w:color="1F497D" w:themeColor="text2"/>
              <w:left w:val="nil"/>
              <w:bottom w:val="nil"/>
              <w:right w:val="nil"/>
            </w:tcBorders>
            <w:vAlign w:val="center"/>
          </w:tcPr>
          <w:p w14:paraId="1D257E46" w14:textId="77777777" w:rsidR="004135F0" w:rsidRPr="004135F0" w:rsidRDefault="004135F0" w:rsidP="00777483">
            <w:pPr>
              <w:jc w:val="center"/>
              <w:rPr>
                <w:rFonts w:ascii="Arial Narrow" w:hAnsi="Arial Narrow" w:cs="Times New Roman"/>
                <w:sz w:val="20"/>
                <w:szCs w:val="20"/>
              </w:rPr>
            </w:pPr>
          </w:p>
        </w:tc>
      </w:tr>
      <w:tr w:rsidR="004135F0" w:rsidRPr="004135F0" w14:paraId="38162E2B" w14:textId="77777777" w:rsidTr="00777483">
        <w:trPr>
          <w:trHeight w:val="134"/>
        </w:trPr>
        <w:tc>
          <w:tcPr>
            <w:tcW w:w="5665" w:type="dxa"/>
            <w:tcBorders>
              <w:top w:val="nil"/>
              <w:left w:val="nil"/>
              <w:bottom w:val="nil"/>
              <w:right w:val="nil"/>
            </w:tcBorders>
            <w:vAlign w:val="center"/>
          </w:tcPr>
          <w:p w14:paraId="75D5F817"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w:t>
            </w:r>
            <w:proofErr w:type="spellStart"/>
            <w:r w:rsidRPr="004135F0">
              <w:rPr>
                <w:rFonts w:ascii="Arial Narrow" w:hAnsi="Arial Narrow" w:cs="Times New Roman"/>
                <w:sz w:val="20"/>
                <w:szCs w:val="20"/>
              </w:rPr>
              <w:t>Masculin</w:t>
            </w:r>
            <w:proofErr w:type="spellEnd"/>
          </w:p>
        </w:tc>
        <w:tc>
          <w:tcPr>
            <w:tcW w:w="1688" w:type="dxa"/>
            <w:tcBorders>
              <w:top w:val="nil"/>
              <w:left w:val="nil"/>
              <w:bottom w:val="nil"/>
              <w:right w:val="nil"/>
            </w:tcBorders>
            <w:vAlign w:val="center"/>
          </w:tcPr>
          <w:p w14:paraId="2C9B748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383</w:t>
            </w:r>
          </w:p>
        </w:tc>
        <w:tc>
          <w:tcPr>
            <w:tcW w:w="1709" w:type="dxa"/>
            <w:tcBorders>
              <w:top w:val="nil"/>
              <w:left w:val="nil"/>
              <w:bottom w:val="nil"/>
              <w:right w:val="nil"/>
            </w:tcBorders>
            <w:vAlign w:val="center"/>
          </w:tcPr>
          <w:p w14:paraId="62D247B7"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40 %</w:t>
            </w:r>
          </w:p>
        </w:tc>
      </w:tr>
      <w:tr w:rsidR="004135F0" w:rsidRPr="004135F0" w14:paraId="467455B5" w14:textId="77777777" w:rsidTr="00777483">
        <w:trPr>
          <w:trHeight w:val="157"/>
        </w:trPr>
        <w:tc>
          <w:tcPr>
            <w:tcW w:w="5665" w:type="dxa"/>
            <w:tcBorders>
              <w:top w:val="nil"/>
              <w:left w:val="nil"/>
              <w:bottom w:val="nil"/>
              <w:right w:val="nil"/>
            </w:tcBorders>
            <w:vAlign w:val="center"/>
          </w:tcPr>
          <w:p w14:paraId="45F5F6AC"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w:t>
            </w:r>
            <w:proofErr w:type="spellStart"/>
            <w:r w:rsidRPr="004135F0">
              <w:rPr>
                <w:rFonts w:ascii="Arial Narrow" w:hAnsi="Arial Narrow" w:cs="Times New Roman"/>
                <w:sz w:val="20"/>
                <w:szCs w:val="20"/>
              </w:rPr>
              <w:t>Féminin</w:t>
            </w:r>
            <w:proofErr w:type="spellEnd"/>
          </w:p>
        </w:tc>
        <w:tc>
          <w:tcPr>
            <w:tcW w:w="1688" w:type="dxa"/>
            <w:tcBorders>
              <w:top w:val="nil"/>
              <w:left w:val="nil"/>
              <w:bottom w:val="nil"/>
              <w:right w:val="nil"/>
            </w:tcBorders>
            <w:vAlign w:val="center"/>
          </w:tcPr>
          <w:p w14:paraId="0804F02A"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580</w:t>
            </w:r>
          </w:p>
        </w:tc>
        <w:tc>
          <w:tcPr>
            <w:tcW w:w="1709" w:type="dxa"/>
            <w:tcBorders>
              <w:top w:val="nil"/>
              <w:left w:val="nil"/>
              <w:bottom w:val="nil"/>
              <w:right w:val="nil"/>
            </w:tcBorders>
            <w:vAlign w:val="center"/>
          </w:tcPr>
          <w:p w14:paraId="407E404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60 %</w:t>
            </w:r>
          </w:p>
        </w:tc>
      </w:tr>
      <w:tr w:rsidR="004135F0" w:rsidRPr="00514CA4" w14:paraId="69C630E6" w14:textId="77777777" w:rsidTr="00777483">
        <w:trPr>
          <w:trHeight w:val="302"/>
        </w:trPr>
        <w:tc>
          <w:tcPr>
            <w:tcW w:w="5665" w:type="dxa"/>
            <w:tcBorders>
              <w:top w:val="nil"/>
              <w:left w:val="nil"/>
              <w:bottom w:val="nil"/>
              <w:right w:val="nil"/>
            </w:tcBorders>
            <w:vAlign w:val="center"/>
          </w:tcPr>
          <w:p w14:paraId="7808D4E5" w14:textId="77777777" w:rsidR="004135F0" w:rsidRPr="004135F0" w:rsidRDefault="004135F0" w:rsidP="00777483">
            <w:pPr>
              <w:rPr>
                <w:rFonts w:ascii="Arial Narrow" w:hAnsi="Arial Narrow" w:cs="Times New Roman"/>
                <w:b/>
                <w:bCs/>
                <w:sz w:val="20"/>
                <w:szCs w:val="20"/>
                <w:lang w:val="fr-FR"/>
              </w:rPr>
            </w:pPr>
            <w:r w:rsidRPr="004135F0">
              <w:rPr>
                <w:rFonts w:ascii="Arial Narrow" w:hAnsi="Arial Narrow" w:cs="Times New Roman"/>
                <w:b/>
                <w:bCs/>
                <w:sz w:val="20"/>
                <w:szCs w:val="20"/>
                <w:lang w:val="fr-FR"/>
              </w:rPr>
              <w:t>Qualification de l’agent de santé</w:t>
            </w:r>
          </w:p>
        </w:tc>
        <w:tc>
          <w:tcPr>
            <w:tcW w:w="1688" w:type="dxa"/>
            <w:tcBorders>
              <w:top w:val="nil"/>
              <w:left w:val="nil"/>
              <w:bottom w:val="nil"/>
              <w:right w:val="nil"/>
            </w:tcBorders>
            <w:vAlign w:val="center"/>
          </w:tcPr>
          <w:p w14:paraId="05DC54B9" w14:textId="77777777" w:rsidR="004135F0" w:rsidRPr="004135F0" w:rsidRDefault="004135F0" w:rsidP="00777483">
            <w:pPr>
              <w:jc w:val="center"/>
              <w:rPr>
                <w:rFonts w:ascii="Arial Narrow" w:hAnsi="Arial Narrow" w:cs="Times New Roman"/>
                <w:sz w:val="20"/>
                <w:szCs w:val="20"/>
                <w:lang w:val="fr-FR"/>
              </w:rPr>
            </w:pPr>
          </w:p>
        </w:tc>
        <w:tc>
          <w:tcPr>
            <w:tcW w:w="1709" w:type="dxa"/>
            <w:tcBorders>
              <w:top w:val="nil"/>
              <w:left w:val="nil"/>
              <w:bottom w:val="nil"/>
              <w:right w:val="nil"/>
            </w:tcBorders>
            <w:vAlign w:val="center"/>
          </w:tcPr>
          <w:p w14:paraId="70AAF6AD" w14:textId="77777777" w:rsidR="004135F0" w:rsidRPr="004135F0" w:rsidRDefault="004135F0" w:rsidP="00777483">
            <w:pPr>
              <w:jc w:val="center"/>
              <w:rPr>
                <w:rFonts w:ascii="Arial Narrow" w:hAnsi="Arial Narrow" w:cs="Times New Roman"/>
                <w:sz w:val="20"/>
                <w:szCs w:val="20"/>
                <w:lang w:val="fr-FR"/>
              </w:rPr>
            </w:pPr>
          </w:p>
        </w:tc>
      </w:tr>
      <w:tr w:rsidR="004135F0" w:rsidRPr="004135F0" w14:paraId="60E293AD" w14:textId="77777777" w:rsidTr="00777483">
        <w:trPr>
          <w:trHeight w:val="179"/>
        </w:trPr>
        <w:tc>
          <w:tcPr>
            <w:tcW w:w="5665" w:type="dxa"/>
            <w:tcBorders>
              <w:top w:val="nil"/>
              <w:left w:val="nil"/>
              <w:bottom w:val="nil"/>
              <w:right w:val="nil"/>
            </w:tcBorders>
            <w:vAlign w:val="center"/>
          </w:tcPr>
          <w:p w14:paraId="734ED0AD"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lang w:val="fr-FR"/>
              </w:rPr>
              <w:t xml:space="preserve">    </w:t>
            </w:r>
            <w:r w:rsidRPr="004135F0">
              <w:rPr>
                <w:rFonts w:ascii="Arial Narrow" w:hAnsi="Arial Narrow" w:cs="Times New Roman"/>
                <w:sz w:val="20"/>
                <w:szCs w:val="20"/>
              </w:rPr>
              <w:t>Médecin</w:t>
            </w:r>
          </w:p>
        </w:tc>
        <w:tc>
          <w:tcPr>
            <w:tcW w:w="1688" w:type="dxa"/>
            <w:tcBorders>
              <w:top w:val="nil"/>
              <w:left w:val="nil"/>
              <w:bottom w:val="nil"/>
              <w:right w:val="nil"/>
            </w:tcBorders>
            <w:vAlign w:val="center"/>
          </w:tcPr>
          <w:p w14:paraId="31A876FB"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113</w:t>
            </w:r>
          </w:p>
        </w:tc>
        <w:tc>
          <w:tcPr>
            <w:tcW w:w="1709" w:type="dxa"/>
            <w:tcBorders>
              <w:top w:val="nil"/>
              <w:left w:val="nil"/>
              <w:bottom w:val="nil"/>
              <w:right w:val="nil"/>
            </w:tcBorders>
            <w:vAlign w:val="center"/>
          </w:tcPr>
          <w:p w14:paraId="26E95806"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12 %</w:t>
            </w:r>
          </w:p>
        </w:tc>
      </w:tr>
      <w:tr w:rsidR="004135F0" w:rsidRPr="004135F0" w14:paraId="5DDE87D1" w14:textId="77777777" w:rsidTr="00777483">
        <w:trPr>
          <w:trHeight w:val="45"/>
        </w:trPr>
        <w:tc>
          <w:tcPr>
            <w:tcW w:w="5665" w:type="dxa"/>
            <w:tcBorders>
              <w:top w:val="nil"/>
              <w:left w:val="nil"/>
              <w:bottom w:val="nil"/>
              <w:right w:val="nil"/>
            </w:tcBorders>
            <w:vAlign w:val="center"/>
          </w:tcPr>
          <w:p w14:paraId="6F484835"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w:t>
            </w:r>
            <w:proofErr w:type="spellStart"/>
            <w:r w:rsidRPr="004135F0">
              <w:rPr>
                <w:rFonts w:ascii="Arial Narrow" w:hAnsi="Arial Narrow" w:cs="Times New Roman"/>
                <w:sz w:val="20"/>
                <w:szCs w:val="20"/>
              </w:rPr>
              <w:t>Chirurgien-dentiste</w:t>
            </w:r>
            <w:proofErr w:type="spellEnd"/>
          </w:p>
        </w:tc>
        <w:tc>
          <w:tcPr>
            <w:tcW w:w="1688" w:type="dxa"/>
            <w:tcBorders>
              <w:top w:val="nil"/>
              <w:left w:val="nil"/>
              <w:bottom w:val="nil"/>
              <w:right w:val="nil"/>
            </w:tcBorders>
            <w:vAlign w:val="center"/>
          </w:tcPr>
          <w:p w14:paraId="43071CD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w:t>
            </w:r>
          </w:p>
        </w:tc>
        <w:tc>
          <w:tcPr>
            <w:tcW w:w="1709" w:type="dxa"/>
            <w:tcBorders>
              <w:top w:val="nil"/>
              <w:left w:val="nil"/>
              <w:bottom w:val="nil"/>
              <w:right w:val="nil"/>
            </w:tcBorders>
            <w:vAlign w:val="center"/>
          </w:tcPr>
          <w:p w14:paraId="02E9C95C"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0 %</w:t>
            </w:r>
          </w:p>
        </w:tc>
      </w:tr>
      <w:tr w:rsidR="004135F0" w:rsidRPr="004135F0" w14:paraId="5313580E" w14:textId="77777777" w:rsidTr="00777483">
        <w:trPr>
          <w:trHeight w:val="173"/>
        </w:trPr>
        <w:tc>
          <w:tcPr>
            <w:tcW w:w="5665" w:type="dxa"/>
            <w:tcBorders>
              <w:top w:val="nil"/>
              <w:left w:val="nil"/>
              <w:bottom w:val="nil"/>
              <w:right w:val="nil"/>
            </w:tcBorders>
            <w:vAlign w:val="center"/>
          </w:tcPr>
          <w:p w14:paraId="3D0D3C03"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Attaché de santé</w:t>
            </w:r>
          </w:p>
        </w:tc>
        <w:tc>
          <w:tcPr>
            <w:tcW w:w="1688" w:type="dxa"/>
            <w:tcBorders>
              <w:top w:val="nil"/>
              <w:left w:val="nil"/>
              <w:bottom w:val="nil"/>
              <w:right w:val="nil"/>
            </w:tcBorders>
            <w:vAlign w:val="center"/>
          </w:tcPr>
          <w:p w14:paraId="3FC41CD3"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196</w:t>
            </w:r>
          </w:p>
        </w:tc>
        <w:tc>
          <w:tcPr>
            <w:tcW w:w="1709" w:type="dxa"/>
            <w:tcBorders>
              <w:top w:val="nil"/>
              <w:left w:val="nil"/>
              <w:bottom w:val="nil"/>
              <w:right w:val="nil"/>
            </w:tcBorders>
            <w:vAlign w:val="center"/>
          </w:tcPr>
          <w:p w14:paraId="6192AD6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20 %</w:t>
            </w:r>
          </w:p>
        </w:tc>
      </w:tr>
      <w:tr w:rsidR="004135F0" w:rsidRPr="004135F0" w14:paraId="5617DF85" w14:textId="77777777" w:rsidTr="00777483">
        <w:trPr>
          <w:trHeight w:val="176"/>
        </w:trPr>
        <w:tc>
          <w:tcPr>
            <w:tcW w:w="5665" w:type="dxa"/>
            <w:tcBorders>
              <w:top w:val="nil"/>
              <w:left w:val="nil"/>
              <w:bottom w:val="nil"/>
              <w:right w:val="nil"/>
            </w:tcBorders>
            <w:vAlign w:val="center"/>
          </w:tcPr>
          <w:p w14:paraId="2825F2CB"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w:t>
            </w:r>
            <w:proofErr w:type="spellStart"/>
            <w:r w:rsidRPr="004135F0">
              <w:rPr>
                <w:rFonts w:ascii="Arial Narrow" w:hAnsi="Arial Narrow" w:cs="Times New Roman"/>
                <w:sz w:val="20"/>
                <w:szCs w:val="20"/>
              </w:rPr>
              <w:t>Infirmier-ière</w:t>
            </w:r>
            <w:proofErr w:type="spellEnd"/>
          </w:p>
        </w:tc>
        <w:tc>
          <w:tcPr>
            <w:tcW w:w="1688" w:type="dxa"/>
            <w:tcBorders>
              <w:top w:val="nil"/>
              <w:left w:val="nil"/>
              <w:bottom w:val="nil"/>
              <w:right w:val="nil"/>
            </w:tcBorders>
            <w:vAlign w:val="center"/>
          </w:tcPr>
          <w:p w14:paraId="52E02A3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374</w:t>
            </w:r>
          </w:p>
        </w:tc>
        <w:tc>
          <w:tcPr>
            <w:tcW w:w="1709" w:type="dxa"/>
            <w:tcBorders>
              <w:top w:val="nil"/>
              <w:left w:val="nil"/>
              <w:bottom w:val="nil"/>
              <w:right w:val="nil"/>
            </w:tcBorders>
            <w:vAlign w:val="center"/>
          </w:tcPr>
          <w:p w14:paraId="7CBF6879"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39 %</w:t>
            </w:r>
          </w:p>
        </w:tc>
      </w:tr>
      <w:tr w:rsidR="004135F0" w:rsidRPr="004135F0" w14:paraId="10C5D30E" w14:textId="77777777" w:rsidTr="00777483">
        <w:trPr>
          <w:trHeight w:val="166"/>
        </w:trPr>
        <w:tc>
          <w:tcPr>
            <w:tcW w:w="5665" w:type="dxa"/>
            <w:tcBorders>
              <w:top w:val="nil"/>
              <w:left w:val="nil"/>
              <w:bottom w:val="nil"/>
              <w:right w:val="nil"/>
            </w:tcBorders>
            <w:vAlign w:val="center"/>
          </w:tcPr>
          <w:p w14:paraId="6CE6CB01"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Sage-femme </w:t>
            </w:r>
            <w:proofErr w:type="spellStart"/>
            <w:r w:rsidRPr="004135F0">
              <w:rPr>
                <w:rFonts w:ascii="Arial Narrow" w:hAnsi="Arial Narrow" w:cs="Times New Roman"/>
                <w:sz w:val="20"/>
                <w:szCs w:val="20"/>
              </w:rPr>
              <w:t>ou</w:t>
            </w:r>
            <w:proofErr w:type="spellEnd"/>
            <w:r w:rsidRPr="004135F0">
              <w:rPr>
                <w:rFonts w:ascii="Arial Narrow" w:hAnsi="Arial Narrow" w:cs="Times New Roman"/>
                <w:sz w:val="20"/>
                <w:szCs w:val="20"/>
              </w:rPr>
              <w:t xml:space="preserve"> </w:t>
            </w:r>
            <w:proofErr w:type="spellStart"/>
            <w:r w:rsidRPr="004135F0">
              <w:rPr>
                <w:rFonts w:ascii="Arial Narrow" w:hAnsi="Arial Narrow" w:cs="Times New Roman"/>
                <w:sz w:val="20"/>
                <w:szCs w:val="20"/>
              </w:rPr>
              <w:t>maïeuticien</w:t>
            </w:r>
            <w:proofErr w:type="spellEnd"/>
          </w:p>
        </w:tc>
        <w:tc>
          <w:tcPr>
            <w:tcW w:w="1688" w:type="dxa"/>
            <w:tcBorders>
              <w:top w:val="nil"/>
              <w:left w:val="nil"/>
              <w:bottom w:val="nil"/>
              <w:right w:val="nil"/>
            </w:tcBorders>
            <w:vAlign w:val="center"/>
          </w:tcPr>
          <w:p w14:paraId="6D06CF76"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280</w:t>
            </w:r>
          </w:p>
        </w:tc>
        <w:tc>
          <w:tcPr>
            <w:tcW w:w="1709" w:type="dxa"/>
            <w:tcBorders>
              <w:top w:val="nil"/>
              <w:left w:val="nil"/>
              <w:bottom w:val="nil"/>
              <w:right w:val="nil"/>
            </w:tcBorders>
            <w:vAlign w:val="center"/>
          </w:tcPr>
          <w:p w14:paraId="3951C38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29 %</w:t>
            </w:r>
          </w:p>
        </w:tc>
      </w:tr>
      <w:tr w:rsidR="004135F0" w:rsidRPr="004135F0" w14:paraId="6E11AD35" w14:textId="77777777" w:rsidTr="00777483">
        <w:trPr>
          <w:trHeight w:val="170"/>
        </w:trPr>
        <w:tc>
          <w:tcPr>
            <w:tcW w:w="5665" w:type="dxa"/>
            <w:tcBorders>
              <w:top w:val="nil"/>
              <w:left w:val="nil"/>
              <w:bottom w:val="nil"/>
              <w:right w:val="nil"/>
            </w:tcBorders>
            <w:vAlign w:val="center"/>
          </w:tcPr>
          <w:p w14:paraId="103E737D"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Accoucheuse</w:t>
            </w:r>
          </w:p>
        </w:tc>
        <w:tc>
          <w:tcPr>
            <w:tcW w:w="1688" w:type="dxa"/>
            <w:tcBorders>
              <w:top w:val="nil"/>
              <w:left w:val="nil"/>
              <w:bottom w:val="nil"/>
              <w:right w:val="nil"/>
            </w:tcBorders>
            <w:vAlign w:val="center"/>
          </w:tcPr>
          <w:p w14:paraId="46E14D1D"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w:t>
            </w:r>
          </w:p>
        </w:tc>
        <w:tc>
          <w:tcPr>
            <w:tcW w:w="1709" w:type="dxa"/>
            <w:tcBorders>
              <w:top w:val="nil"/>
              <w:left w:val="nil"/>
              <w:bottom w:val="nil"/>
              <w:right w:val="nil"/>
            </w:tcBorders>
            <w:vAlign w:val="center"/>
          </w:tcPr>
          <w:p w14:paraId="4C582F0C"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0 %</w:t>
            </w:r>
          </w:p>
        </w:tc>
      </w:tr>
      <w:tr w:rsidR="004135F0" w:rsidRPr="004135F0" w14:paraId="5E363F13" w14:textId="77777777" w:rsidTr="00777483">
        <w:trPr>
          <w:trHeight w:val="160"/>
        </w:trPr>
        <w:tc>
          <w:tcPr>
            <w:tcW w:w="5665" w:type="dxa"/>
            <w:tcBorders>
              <w:top w:val="nil"/>
              <w:left w:val="nil"/>
              <w:bottom w:val="nil"/>
              <w:right w:val="nil"/>
            </w:tcBorders>
            <w:vAlign w:val="center"/>
          </w:tcPr>
          <w:p w14:paraId="372EBFE4" w14:textId="77777777" w:rsidR="004135F0" w:rsidRPr="004135F0" w:rsidRDefault="004135F0" w:rsidP="00777483">
            <w:pPr>
              <w:rPr>
                <w:rFonts w:ascii="Arial Narrow" w:hAnsi="Arial Narrow" w:cs="Times New Roman"/>
                <w:b/>
                <w:bCs/>
                <w:sz w:val="20"/>
                <w:szCs w:val="20"/>
              </w:rPr>
            </w:pPr>
            <w:proofErr w:type="spellStart"/>
            <w:r w:rsidRPr="004135F0">
              <w:rPr>
                <w:rFonts w:ascii="Arial Narrow" w:hAnsi="Arial Narrow" w:cs="Times New Roman"/>
                <w:b/>
                <w:bCs/>
                <w:sz w:val="20"/>
                <w:szCs w:val="20"/>
              </w:rPr>
              <w:t>Région</w:t>
            </w:r>
            <w:proofErr w:type="spellEnd"/>
            <w:r w:rsidRPr="004135F0">
              <w:rPr>
                <w:rFonts w:ascii="Arial Narrow" w:hAnsi="Arial Narrow" w:cs="Times New Roman"/>
                <w:b/>
                <w:bCs/>
                <w:sz w:val="20"/>
                <w:szCs w:val="20"/>
              </w:rPr>
              <w:t xml:space="preserve"> sanitaire</w:t>
            </w:r>
          </w:p>
        </w:tc>
        <w:tc>
          <w:tcPr>
            <w:tcW w:w="1688" w:type="dxa"/>
            <w:tcBorders>
              <w:top w:val="nil"/>
              <w:left w:val="nil"/>
              <w:bottom w:val="nil"/>
              <w:right w:val="nil"/>
            </w:tcBorders>
            <w:vAlign w:val="center"/>
          </w:tcPr>
          <w:p w14:paraId="17846E90" w14:textId="77777777" w:rsidR="004135F0" w:rsidRPr="004135F0" w:rsidRDefault="004135F0" w:rsidP="00777483">
            <w:pPr>
              <w:jc w:val="center"/>
              <w:rPr>
                <w:rFonts w:ascii="Arial Narrow" w:hAnsi="Arial Narrow" w:cs="Times New Roman"/>
                <w:sz w:val="20"/>
                <w:szCs w:val="20"/>
              </w:rPr>
            </w:pPr>
          </w:p>
        </w:tc>
        <w:tc>
          <w:tcPr>
            <w:tcW w:w="1709" w:type="dxa"/>
            <w:tcBorders>
              <w:top w:val="nil"/>
              <w:left w:val="nil"/>
              <w:bottom w:val="nil"/>
              <w:right w:val="nil"/>
            </w:tcBorders>
            <w:vAlign w:val="center"/>
          </w:tcPr>
          <w:p w14:paraId="4E9250E5" w14:textId="77777777" w:rsidR="004135F0" w:rsidRPr="004135F0" w:rsidRDefault="004135F0" w:rsidP="00777483">
            <w:pPr>
              <w:jc w:val="center"/>
              <w:rPr>
                <w:rFonts w:ascii="Arial Narrow" w:hAnsi="Arial Narrow" w:cs="Times New Roman"/>
                <w:sz w:val="20"/>
                <w:szCs w:val="20"/>
              </w:rPr>
            </w:pPr>
          </w:p>
        </w:tc>
      </w:tr>
      <w:tr w:rsidR="004135F0" w:rsidRPr="004135F0" w14:paraId="67482627" w14:textId="77777777" w:rsidTr="00777483">
        <w:trPr>
          <w:trHeight w:val="45"/>
        </w:trPr>
        <w:tc>
          <w:tcPr>
            <w:tcW w:w="5665" w:type="dxa"/>
            <w:tcBorders>
              <w:top w:val="nil"/>
              <w:left w:val="nil"/>
              <w:bottom w:val="nil"/>
              <w:right w:val="nil"/>
            </w:tcBorders>
            <w:vAlign w:val="center"/>
          </w:tcPr>
          <w:p w14:paraId="621EAC98"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Boucle du </w:t>
            </w:r>
            <w:proofErr w:type="spellStart"/>
            <w:r w:rsidRPr="004135F0">
              <w:rPr>
                <w:rFonts w:ascii="Arial Narrow" w:hAnsi="Arial Narrow" w:cs="Times New Roman"/>
                <w:sz w:val="20"/>
                <w:szCs w:val="20"/>
              </w:rPr>
              <w:t>Mouhoun</w:t>
            </w:r>
            <w:proofErr w:type="spellEnd"/>
          </w:p>
        </w:tc>
        <w:tc>
          <w:tcPr>
            <w:tcW w:w="1688" w:type="dxa"/>
            <w:tcBorders>
              <w:top w:val="nil"/>
              <w:left w:val="nil"/>
              <w:bottom w:val="nil"/>
              <w:right w:val="nil"/>
            </w:tcBorders>
            <w:vAlign w:val="center"/>
          </w:tcPr>
          <w:p w14:paraId="4DD0244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69</w:t>
            </w:r>
          </w:p>
        </w:tc>
        <w:tc>
          <w:tcPr>
            <w:tcW w:w="1709" w:type="dxa"/>
            <w:tcBorders>
              <w:top w:val="nil"/>
              <w:left w:val="nil"/>
              <w:bottom w:val="nil"/>
              <w:right w:val="nil"/>
            </w:tcBorders>
            <w:vAlign w:val="center"/>
          </w:tcPr>
          <w:p w14:paraId="450B8DB5"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7,2 %</w:t>
            </w:r>
          </w:p>
        </w:tc>
      </w:tr>
      <w:tr w:rsidR="004135F0" w:rsidRPr="004135F0" w14:paraId="11551DB1" w14:textId="77777777" w:rsidTr="00777483">
        <w:trPr>
          <w:trHeight w:val="154"/>
        </w:trPr>
        <w:tc>
          <w:tcPr>
            <w:tcW w:w="5665" w:type="dxa"/>
            <w:tcBorders>
              <w:top w:val="nil"/>
              <w:left w:val="nil"/>
              <w:bottom w:val="nil"/>
              <w:right w:val="nil"/>
            </w:tcBorders>
            <w:vAlign w:val="center"/>
          </w:tcPr>
          <w:p w14:paraId="55EC985C"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Cascades</w:t>
            </w:r>
          </w:p>
        </w:tc>
        <w:tc>
          <w:tcPr>
            <w:tcW w:w="1688" w:type="dxa"/>
            <w:tcBorders>
              <w:top w:val="nil"/>
              <w:left w:val="nil"/>
              <w:bottom w:val="nil"/>
              <w:right w:val="nil"/>
            </w:tcBorders>
            <w:vAlign w:val="center"/>
          </w:tcPr>
          <w:p w14:paraId="709DD45D"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38</w:t>
            </w:r>
          </w:p>
        </w:tc>
        <w:tc>
          <w:tcPr>
            <w:tcW w:w="1709" w:type="dxa"/>
            <w:tcBorders>
              <w:top w:val="nil"/>
              <w:left w:val="nil"/>
              <w:bottom w:val="nil"/>
              <w:right w:val="nil"/>
            </w:tcBorders>
            <w:vAlign w:val="center"/>
          </w:tcPr>
          <w:p w14:paraId="71E8F6E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3,9 %</w:t>
            </w:r>
          </w:p>
        </w:tc>
      </w:tr>
      <w:tr w:rsidR="004135F0" w:rsidRPr="004135F0" w14:paraId="104BD286" w14:textId="77777777" w:rsidTr="00777483">
        <w:trPr>
          <w:trHeight w:val="144"/>
        </w:trPr>
        <w:tc>
          <w:tcPr>
            <w:tcW w:w="5665" w:type="dxa"/>
            <w:tcBorders>
              <w:top w:val="nil"/>
              <w:left w:val="nil"/>
              <w:bottom w:val="nil"/>
              <w:right w:val="nil"/>
            </w:tcBorders>
            <w:vAlign w:val="center"/>
          </w:tcPr>
          <w:p w14:paraId="0960C913"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Centre</w:t>
            </w:r>
          </w:p>
        </w:tc>
        <w:tc>
          <w:tcPr>
            <w:tcW w:w="1688" w:type="dxa"/>
            <w:tcBorders>
              <w:top w:val="nil"/>
              <w:left w:val="nil"/>
              <w:bottom w:val="nil"/>
              <w:right w:val="nil"/>
            </w:tcBorders>
            <w:vAlign w:val="center"/>
          </w:tcPr>
          <w:p w14:paraId="610E931A"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289</w:t>
            </w:r>
          </w:p>
        </w:tc>
        <w:tc>
          <w:tcPr>
            <w:tcW w:w="1709" w:type="dxa"/>
            <w:tcBorders>
              <w:top w:val="nil"/>
              <w:left w:val="nil"/>
              <w:bottom w:val="nil"/>
              <w:right w:val="nil"/>
            </w:tcBorders>
            <w:vAlign w:val="center"/>
          </w:tcPr>
          <w:p w14:paraId="072E24F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30 %</w:t>
            </w:r>
          </w:p>
        </w:tc>
      </w:tr>
      <w:tr w:rsidR="004135F0" w:rsidRPr="004135F0" w14:paraId="5EA04E45" w14:textId="77777777" w:rsidTr="00777483">
        <w:trPr>
          <w:trHeight w:val="45"/>
        </w:trPr>
        <w:tc>
          <w:tcPr>
            <w:tcW w:w="5665" w:type="dxa"/>
            <w:tcBorders>
              <w:top w:val="nil"/>
              <w:left w:val="nil"/>
              <w:bottom w:val="nil"/>
              <w:right w:val="nil"/>
            </w:tcBorders>
            <w:vAlign w:val="center"/>
          </w:tcPr>
          <w:p w14:paraId="47D80F28"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Centre-Est</w:t>
            </w:r>
          </w:p>
        </w:tc>
        <w:tc>
          <w:tcPr>
            <w:tcW w:w="1688" w:type="dxa"/>
            <w:tcBorders>
              <w:top w:val="nil"/>
              <w:left w:val="nil"/>
              <w:bottom w:val="nil"/>
              <w:right w:val="nil"/>
            </w:tcBorders>
            <w:vAlign w:val="center"/>
          </w:tcPr>
          <w:p w14:paraId="46CA5F6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24</w:t>
            </w:r>
          </w:p>
        </w:tc>
        <w:tc>
          <w:tcPr>
            <w:tcW w:w="1709" w:type="dxa"/>
            <w:tcBorders>
              <w:top w:val="nil"/>
              <w:left w:val="nil"/>
              <w:bottom w:val="nil"/>
              <w:right w:val="nil"/>
            </w:tcBorders>
            <w:vAlign w:val="center"/>
          </w:tcPr>
          <w:p w14:paraId="5CB9CAA7"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2,5 %</w:t>
            </w:r>
          </w:p>
        </w:tc>
      </w:tr>
      <w:tr w:rsidR="004135F0" w:rsidRPr="004135F0" w14:paraId="2DD0FDC4" w14:textId="77777777" w:rsidTr="00777483">
        <w:trPr>
          <w:trHeight w:val="45"/>
        </w:trPr>
        <w:tc>
          <w:tcPr>
            <w:tcW w:w="5665" w:type="dxa"/>
            <w:tcBorders>
              <w:top w:val="nil"/>
              <w:left w:val="nil"/>
              <w:bottom w:val="nil"/>
              <w:right w:val="nil"/>
            </w:tcBorders>
            <w:vAlign w:val="center"/>
          </w:tcPr>
          <w:p w14:paraId="46E79298"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Centre-Nord</w:t>
            </w:r>
          </w:p>
        </w:tc>
        <w:tc>
          <w:tcPr>
            <w:tcW w:w="1688" w:type="dxa"/>
            <w:tcBorders>
              <w:top w:val="nil"/>
              <w:left w:val="nil"/>
              <w:bottom w:val="nil"/>
              <w:right w:val="nil"/>
            </w:tcBorders>
            <w:vAlign w:val="center"/>
          </w:tcPr>
          <w:p w14:paraId="3CEFAFC7"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38</w:t>
            </w:r>
          </w:p>
        </w:tc>
        <w:tc>
          <w:tcPr>
            <w:tcW w:w="1709" w:type="dxa"/>
            <w:tcBorders>
              <w:top w:val="nil"/>
              <w:left w:val="nil"/>
              <w:bottom w:val="nil"/>
              <w:right w:val="nil"/>
            </w:tcBorders>
            <w:vAlign w:val="center"/>
          </w:tcPr>
          <w:p w14:paraId="523747F9"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3,9 %</w:t>
            </w:r>
          </w:p>
        </w:tc>
      </w:tr>
      <w:tr w:rsidR="004135F0" w:rsidRPr="004135F0" w14:paraId="771D3670" w14:textId="77777777" w:rsidTr="00777483">
        <w:trPr>
          <w:trHeight w:val="142"/>
        </w:trPr>
        <w:tc>
          <w:tcPr>
            <w:tcW w:w="5665" w:type="dxa"/>
            <w:tcBorders>
              <w:top w:val="nil"/>
              <w:left w:val="nil"/>
              <w:bottom w:val="nil"/>
              <w:right w:val="nil"/>
            </w:tcBorders>
            <w:vAlign w:val="center"/>
          </w:tcPr>
          <w:p w14:paraId="45A407AB"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Centre-Ouest</w:t>
            </w:r>
          </w:p>
        </w:tc>
        <w:tc>
          <w:tcPr>
            <w:tcW w:w="1688" w:type="dxa"/>
            <w:tcBorders>
              <w:top w:val="nil"/>
              <w:left w:val="nil"/>
              <w:bottom w:val="nil"/>
              <w:right w:val="nil"/>
            </w:tcBorders>
            <w:vAlign w:val="center"/>
          </w:tcPr>
          <w:p w14:paraId="40C6FF31"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46</w:t>
            </w:r>
          </w:p>
        </w:tc>
        <w:tc>
          <w:tcPr>
            <w:tcW w:w="1709" w:type="dxa"/>
            <w:tcBorders>
              <w:top w:val="nil"/>
              <w:left w:val="nil"/>
              <w:bottom w:val="nil"/>
              <w:right w:val="nil"/>
            </w:tcBorders>
            <w:vAlign w:val="center"/>
          </w:tcPr>
          <w:p w14:paraId="2D38CD0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4,8 %</w:t>
            </w:r>
          </w:p>
        </w:tc>
      </w:tr>
      <w:tr w:rsidR="004135F0" w:rsidRPr="004135F0" w14:paraId="38210244" w14:textId="77777777" w:rsidTr="00777483">
        <w:trPr>
          <w:trHeight w:val="146"/>
        </w:trPr>
        <w:tc>
          <w:tcPr>
            <w:tcW w:w="5665" w:type="dxa"/>
            <w:tcBorders>
              <w:top w:val="nil"/>
              <w:left w:val="nil"/>
              <w:bottom w:val="nil"/>
              <w:right w:val="nil"/>
            </w:tcBorders>
            <w:vAlign w:val="center"/>
          </w:tcPr>
          <w:p w14:paraId="36BE64CB"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Centre-Sud</w:t>
            </w:r>
          </w:p>
        </w:tc>
        <w:tc>
          <w:tcPr>
            <w:tcW w:w="1688" w:type="dxa"/>
            <w:tcBorders>
              <w:top w:val="nil"/>
              <w:left w:val="nil"/>
              <w:bottom w:val="nil"/>
              <w:right w:val="nil"/>
            </w:tcBorders>
            <w:vAlign w:val="center"/>
          </w:tcPr>
          <w:p w14:paraId="412D8E32"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w:t>
            </w:r>
          </w:p>
        </w:tc>
        <w:tc>
          <w:tcPr>
            <w:tcW w:w="1709" w:type="dxa"/>
            <w:tcBorders>
              <w:top w:val="nil"/>
              <w:left w:val="nil"/>
              <w:bottom w:val="nil"/>
              <w:right w:val="nil"/>
            </w:tcBorders>
            <w:vAlign w:val="center"/>
          </w:tcPr>
          <w:p w14:paraId="0BB4F4D3"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0,1 %</w:t>
            </w:r>
          </w:p>
        </w:tc>
      </w:tr>
      <w:tr w:rsidR="004135F0" w:rsidRPr="004135F0" w14:paraId="54ACD06A" w14:textId="77777777" w:rsidTr="00777483">
        <w:trPr>
          <w:trHeight w:val="136"/>
        </w:trPr>
        <w:tc>
          <w:tcPr>
            <w:tcW w:w="5665" w:type="dxa"/>
            <w:tcBorders>
              <w:top w:val="nil"/>
              <w:left w:val="nil"/>
              <w:bottom w:val="nil"/>
              <w:right w:val="nil"/>
            </w:tcBorders>
            <w:vAlign w:val="center"/>
          </w:tcPr>
          <w:p w14:paraId="6560CCB5"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Est</w:t>
            </w:r>
          </w:p>
        </w:tc>
        <w:tc>
          <w:tcPr>
            <w:tcW w:w="1688" w:type="dxa"/>
            <w:tcBorders>
              <w:top w:val="nil"/>
              <w:left w:val="nil"/>
              <w:bottom w:val="nil"/>
              <w:right w:val="nil"/>
            </w:tcBorders>
            <w:vAlign w:val="center"/>
          </w:tcPr>
          <w:p w14:paraId="4D9A2C12"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46</w:t>
            </w:r>
          </w:p>
        </w:tc>
        <w:tc>
          <w:tcPr>
            <w:tcW w:w="1709" w:type="dxa"/>
            <w:tcBorders>
              <w:top w:val="nil"/>
              <w:left w:val="nil"/>
              <w:bottom w:val="nil"/>
              <w:right w:val="nil"/>
            </w:tcBorders>
            <w:vAlign w:val="center"/>
          </w:tcPr>
          <w:p w14:paraId="2E99931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4,8 %</w:t>
            </w:r>
          </w:p>
        </w:tc>
      </w:tr>
      <w:tr w:rsidR="004135F0" w:rsidRPr="004135F0" w14:paraId="05B3D295" w14:textId="77777777" w:rsidTr="00777483">
        <w:trPr>
          <w:trHeight w:val="140"/>
        </w:trPr>
        <w:tc>
          <w:tcPr>
            <w:tcW w:w="5665" w:type="dxa"/>
            <w:tcBorders>
              <w:top w:val="nil"/>
              <w:left w:val="nil"/>
              <w:bottom w:val="nil"/>
              <w:right w:val="nil"/>
            </w:tcBorders>
            <w:vAlign w:val="center"/>
          </w:tcPr>
          <w:p w14:paraId="04C46467"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Hauts </w:t>
            </w:r>
            <w:proofErr w:type="spellStart"/>
            <w:r w:rsidRPr="004135F0">
              <w:rPr>
                <w:rFonts w:ascii="Arial Narrow" w:hAnsi="Arial Narrow" w:cs="Times New Roman"/>
                <w:sz w:val="20"/>
                <w:szCs w:val="20"/>
              </w:rPr>
              <w:t>Bassins</w:t>
            </w:r>
            <w:proofErr w:type="spellEnd"/>
          </w:p>
        </w:tc>
        <w:tc>
          <w:tcPr>
            <w:tcW w:w="1688" w:type="dxa"/>
            <w:tcBorders>
              <w:top w:val="nil"/>
              <w:left w:val="nil"/>
              <w:bottom w:val="nil"/>
              <w:right w:val="nil"/>
            </w:tcBorders>
            <w:vAlign w:val="center"/>
          </w:tcPr>
          <w:p w14:paraId="7D4C7A7D"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269</w:t>
            </w:r>
          </w:p>
        </w:tc>
        <w:tc>
          <w:tcPr>
            <w:tcW w:w="1709" w:type="dxa"/>
            <w:tcBorders>
              <w:top w:val="nil"/>
              <w:left w:val="nil"/>
              <w:bottom w:val="nil"/>
              <w:right w:val="nil"/>
            </w:tcBorders>
            <w:vAlign w:val="center"/>
          </w:tcPr>
          <w:p w14:paraId="7A03FAA7"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27,9 %</w:t>
            </w:r>
          </w:p>
        </w:tc>
      </w:tr>
      <w:tr w:rsidR="004135F0" w:rsidRPr="004135F0" w14:paraId="6E4FBAF6" w14:textId="77777777" w:rsidTr="00777483">
        <w:trPr>
          <w:trHeight w:val="145"/>
        </w:trPr>
        <w:tc>
          <w:tcPr>
            <w:tcW w:w="5665" w:type="dxa"/>
            <w:tcBorders>
              <w:top w:val="nil"/>
              <w:left w:val="nil"/>
              <w:bottom w:val="nil"/>
              <w:right w:val="nil"/>
            </w:tcBorders>
            <w:vAlign w:val="center"/>
          </w:tcPr>
          <w:p w14:paraId="5EA23F9F"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Nord</w:t>
            </w:r>
          </w:p>
        </w:tc>
        <w:tc>
          <w:tcPr>
            <w:tcW w:w="1688" w:type="dxa"/>
            <w:tcBorders>
              <w:top w:val="nil"/>
              <w:left w:val="nil"/>
              <w:bottom w:val="nil"/>
              <w:right w:val="nil"/>
            </w:tcBorders>
            <w:vAlign w:val="center"/>
          </w:tcPr>
          <w:p w14:paraId="116F9806"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95</w:t>
            </w:r>
          </w:p>
        </w:tc>
        <w:tc>
          <w:tcPr>
            <w:tcW w:w="1709" w:type="dxa"/>
            <w:tcBorders>
              <w:top w:val="nil"/>
              <w:left w:val="nil"/>
              <w:bottom w:val="nil"/>
              <w:right w:val="nil"/>
            </w:tcBorders>
            <w:vAlign w:val="center"/>
          </w:tcPr>
          <w:p w14:paraId="0127C8D1"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9,9 %</w:t>
            </w:r>
          </w:p>
        </w:tc>
      </w:tr>
      <w:tr w:rsidR="004135F0" w:rsidRPr="004135F0" w14:paraId="3ADFB3A1" w14:textId="77777777" w:rsidTr="00777483">
        <w:trPr>
          <w:trHeight w:val="134"/>
        </w:trPr>
        <w:tc>
          <w:tcPr>
            <w:tcW w:w="5665" w:type="dxa"/>
            <w:tcBorders>
              <w:top w:val="nil"/>
              <w:left w:val="nil"/>
              <w:bottom w:val="nil"/>
              <w:right w:val="nil"/>
            </w:tcBorders>
            <w:vAlign w:val="center"/>
          </w:tcPr>
          <w:p w14:paraId="03C462B0"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Plateau Central</w:t>
            </w:r>
          </w:p>
        </w:tc>
        <w:tc>
          <w:tcPr>
            <w:tcW w:w="1688" w:type="dxa"/>
            <w:tcBorders>
              <w:top w:val="nil"/>
              <w:left w:val="nil"/>
              <w:bottom w:val="nil"/>
              <w:right w:val="nil"/>
            </w:tcBorders>
            <w:vAlign w:val="center"/>
          </w:tcPr>
          <w:p w14:paraId="200AA792"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42</w:t>
            </w:r>
          </w:p>
        </w:tc>
        <w:tc>
          <w:tcPr>
            <w:tcW w:w="1709" w:type="dxa"/>
            <w:tcBorders>
              <w:top w:val="nil"/>
              <w:left w:val="nil"/>
              <w:bottom w:val="nil"/>
              <w:right w:val="nil"/>
            </w:tcBorders>
            <w:vAlign w:val="center"/>
          </w:tcPr>
          <w:p w14:paraId="53CB574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4,4 %</w:t>
            </w:r>
          </w:p>
        </w:tc>
      </w:tr>
      <w:tr w:rsidR="004135F0" w:rsidRPr="004135F0" w14:paraId="09838B8E" w14:textId="77777777" w:rsidTr="00777483">
        <w:trPr>
          <w:trHeight w:val="45"/>
        </w:trPr>
        <w:tc>
          <w:tcPr>
            <w:tcW w:w="5665" w:type="dxa"/>
            <w:tcBorders>
              <w:top w:val="nil"/>
              <w:left w:val="nil"/>
              <w:bottom w:val="nil"/>
              <w:right w:val="nil"/>
            </w:tcBorders>
            <w:vAlign w:val="center"/>
          </w:tcPr>
          <w:p w14:paraId="32FAFEDB"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Sahel</w:t>
            </w:r>
          </w:p>
        </w:tc>
        <w:tc>
          <w:tcPr>
            <w:tcW w:w="1688" w:type="dxa"/>
            <w:tcBorders>
              <w:top w:val="nil"/>
              <w:left w:val="nil"/>
              <w:bottom w:val="nil"/>
              <w:right w:val="nil"/>
            </w:tcBorders>
            <w:vAlign w:val="center"/>
          </w:tcPr>
          <w:p w14:paraId="620FE97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w:t>
            </w:r>
          </w:p>
        </w:tc>
        <w:tc>
          <w:tcPr>
            <w:tcW w:w="1709" w:type="dxa"/>
            <w:tcBorders>
              <w:top w:val="nil"/>
              <w:left w:val="nil"/>
              <w:bottom w:val="nil"/>
              <w:right w:val="nil"/>
            </w:tcBorders>
            <w:vAlign w:val="center"/>
          </w:tcPr>
          <w:p w14:paraId="177BF57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0 %</w:t>
            </w:r>
          </w:p>
        </w:tc>
      </w:tr>
      <w:tr w:rsidR="004135F0" w:rsidRPr="004135F0" w14:paraId="6EEAEAD5" w14:textId="77777777" w:rsidTr="00777483">
        <w:trPr>
          <w:trHeight w:val="45"/>
        </w:trPr>
        <w:tc>
          <w:tcPr>
            <w:tcW w:w="5665" w:type="dxa"/>
            <w:tcBorders>
              <w:top w:val="nil"/>
              <w:left w:val="nil"/>
              <w:bottom w:val="nil"/>
              <w:right w:val="nil"/>
            </w:tcBorders>
            <w:vAlign w:val="center"/>
          </w:tcPr>
          <w:p w14:paraId="168D6D1A"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Sud-Ouest</w:t>
            </w:r>
          </w:p>
        </w:tc>
        <w:tc>
          <w:tcPr>
            <w:tcW w:w="1688" w:type="dxa"/>
            <w:tcBorders>
              <w:top w:val="nil"/>
              <w:left w:val="nil"/>
              <w:bottom w:val="nil"/>
              <w:right w:val="nil"/>
            </w:tcBorders>
            <w:vAlign w:val="center"/>
          </w:tcPr>
          <w:p w14:paraId="4A9F3FDB"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6</w:t>
            </w:r>
          </w:p>
        </w:tc>
        <w:tc>
          <w:tcPr>
            <w:tcW w:w="1709" w:type="dxa"/>
            <w:tcBorders>
              <w:top w:val="nil"/>
              <w:left w:val="nil"/>
              <w:bottom w:val="nil"/>
              <w:right w:val="nil"/>
            </w:tcBorders>
            <w:vAlign w:val="center"/>
          </w:tcPr>
          <w:p w14:paraId="5A61A45A"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0,6 %</w:t>
            </w:r>
          </w:p>
        </w:tc>
      </w:tr>
      <w:tr w:rsidR="004135F0" w:rsidRPr="004135F0" w14:paraId="172B18CE" w14:textId="77777777" w:rsidTr="00777483">
        <w:trPr>
          <w:trHeight w:val="45"/>
        </w:trPr>
        <w:tc>
          <w:tcPr>
            <w:tcW w:w="5665" w:type="dxa"/>
            <w:tcBorders>
              <w:top w:val="nil"/>
              <w:left w:val="nil"/>
              <w:bottom w:val="nil"/>
              <w:right w:val="nil"/>
            </w:tcBorders>
          </w:tcPr>
          <w:p w14:paraId="453FDAED"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b/>
                <w:bCs/>
                <w:sz w:val="20"/>
                <w:szCs w:val="20"/>
              </w:rPr>
              <w:t>Type de formation sanitaire</w:t>
            </w:r>
          </w:p>
        </w:tc>
        <w:tc>
          <w:tcPr>
            <w:tcW w:w="1688" w:type="dxa"/>
            <w:tcBorders>
              <w:top w:val="nil"/>
              <w:left w:val="nil"/>
              <w:bottom w:val="nil"/>
              <w:right w:val="nil"/>
            </w:tcBorders>
          </w:tcPr>
          <w:p w14:paraId="3DBE7F27" w14:textId="77777777" w:rsidR="004135F0" w:rsidRPr="004135F0" w:rsidRDefault="004135F0" w:rsidP="00777483">
            <w:pPr>
              <w:jc w:val="center"/>
              <w:rPr>
                <w:rFonts w:ascii="Arial Narrow" w:hAnsi="Arial Narrow" w:cs="Times New Roman"/>
                <w:sz w:val="20"/>
                <w:szCs w:val="20"/>
              </w:rPr>
            </w:pPr>
          </w:p>
        </w:tc>
        <w:tc>
          <w:tcPr>
            <w:tcW w:w="1709" w:type="dxa"/>
            <w:tcBorders>
              <w:top w:val="nil"/>
              <w:left w:val="nil"/>
              <w:bottom w:val="nil"/>
              <w:right w:val="nil"/>
            </w:tcBorders>
          </w:tcPr>
          <w:p w14:paraId="5020D8D4" w14:textId="77777777" w:rsidR="004135F0" w:rsidRPr="004135F0" w:rsidRDefault="004135F0" w:rsidP="00777483">
            <w:pPr>
              <w:jc w:val="center"/>
              <w:rPr>
                <w:rFonts w:ascii="Arial Narrow" w:hAnsi="Arial Narrow" w:cs="Times New Roman"/>
                <w:sz w:val="20"/>
                <w:szCs w:val="20"/>
              </w:rPr>
            </w:pPr>
          </w:p>
        </w:tc>
      </w:tr>
      <w:tr w:rsidR="004135F0" w:rsidRPr="004135F0" w14:paraId="5DECD3F4" w14:textId="77777777" w:rsidTr="00777483">
        <w:trPr>
          <w:trHeight w:val="45"/>
        </w:trPr>
        <w:tc>
          <w:tcPr>
            <w:tcW w:w="5665" w:type="dxa"/>
            <w:tcBorders>
              <w:top w:val="nil"/>
              <w:left w:val="nil"/>
              <w:bottom w:val="nil"/>
              <w:right w:val="nil"/>
            </w:tcBorders>
          </w:tcPr>
          <w:p w14:paraId="6B635DDE"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CSPS</w:t>
            </w:r>
          </w:p>
        </w:tc>
        <w:tc>
          <w:tcPr>
            <w:tcW w:w="1688" w:type="dxa"/>
            <w:tcBorders>
              <w:top w:val="nil"/>
              <w:left w:val="nil"/>
              <w:bottom w:val="nil"/>
              <w:right w:val="nil"/>
            </w:tcBorders>
          </w:tcPr>
          <w:p w14:paraId="5E14EEFB"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346</w:t>
            </w:r>
          </w:p>
        </w:tc>
        <w:tc>
          <w:tcPr>
            <w:tcW w:w="1709" w:type="dxa"/>
            <w:tcBorders>
              <w:top w:val="nil"/>
              <w:left w:val="nil"/>
              <w:bottom w:val="nil"/>
              <w:right w:val="nil"/>
            </w:tcBorders>
          </w:tcPr>
          <w:p w14:paraId="6420EB39"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36 %</w:t>
            </w:r>
          </w:p>
        </w:tc>
      </w:tr>
      <w:tr w:rsidR="004135F0" w:rsidRPr="004135F0" w14:paraId="146585CF" w14:textId="77777777" w:rsidTr="00777483">
        <w:trPr>
          <w:trHeight w:val="45"/>
        </w:trPr>
        <w:tc>
          <w:tcPr>
            <w:tcW w:w="5665" w:type="dxa"/>
            <w:tcBorders>
              <w:top w:val="nil"/>
              <w:left w:val="nil"/>
              <w:bottom w:val="nil"/>
              <w:right w:val="nil"/>
            </w:tcBorders>
          </w:tcPr>
          <w:p w14:paraId="618C2735" w14:textId="77777777" w:rsidR="004135F0" w:rsidRPr="004135F0" w:rsidRDefault="004135F0" w:rsidP="00777483">
            <w:pPr>
              <w:rPr>
                <w:rFonts w:ascii="Arial Narrow" w:hAnsi="Arial Narrow" w:cs="Times New Roman"/>
                <w:sz w:val="20"/>
                <w:szCs w:val="20"/>
                <w:lang w:val="fr-FR"/>
              </w:rPr>
            </w:pPr>
            <w:r w:rsidRPr="004135F0">
              <w:rPr>
                <w:rFonts w:ascii="Arial Narrow" w:hAnsi="Arial Narrow" w:cs="Times New Roman"/>
                <w:sz w:val="20"/>
                <w:szCs w:val="20"/>
                <w:lang w:val="fr-FR"/>
              </w:rPr>
              <w:t xml:space="preserve">    CM, CMA, Hôpital de district</w:t>
            </w:r>
          </w:p>
        </w:tc>
        <w:tc>
          <w:tcPr>
            <w:tcW w:w="1688" w:type="dxa"/>
            <w:tcBorders>
              <w:top w:val="nil"/>
              <w:left w:val="nil"/>
              <w:bottom w:val="nil"/>
              <w:right w:val="nil"/>
            </w:tcBorders>
          </w:tcPr>
          <w:p w14:paraId="58C907DA"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274</w:t>
            </w:r>
          </w:p>
        </w:tc>
        <w:tc>
          <w:tcPr>
            <w:tcW w:w="1709" w:type="dxa"/>
            <w:tcBorders>
              <w:top w:val="nil"/>
              <w:left w:val="nil"/>
              <w:bottom w:val="nil"/>
              <w:right w:val="nil"/>
            </w:tcBorders>
          </w:tcPr>
          <w:p w14:paraId="333F09BE"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28 %</w:t>
            </w:r>
          </w:p>
        </w:tc>
      </w:tr>
      <w:tr w:rsidR="004135F0" w:rsidRPr="004135F0" w14:paraId="0C147533" w14:textId="77777777" w:rsidTr="00777483">
        <w:trPr>
          <w:trHeight w:val="45"/>
        </w:trPr>
        <w:tc>
          <w:tcPr>
            <w:tcW w:w="5665" w:type="dxa"/>
            <w:tcBorders>
              <w:top w:val="nil"/>
              <w:left w:val="nil"/>
              <w:bottom w:val="nil"/>
              <w:right w:val="nil"/>
            </w:tcBorders>
          </w:tcPr>
          <w:p w14:paraId="15CB0A21"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CHR</w:t>
            </w:r>
          </w:p>
        </w:tc>
        <w:tc>
          <w:tcPr>
            <w:tcW w:w="1688" w:type="dxa"/>
            <w:tcBorders>
              <w:top w:val="nil"/>
              <w:left w:val="nil"/>
              <w:bottom w:val="nil"/>
              <w:right w:val="nil"/>
            </w:tcBorders>
          </w:tcPr>
          <w:p w14:paraId="295042BF"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38</w:t>
            </w:r>
          </w:p>
        </w:tc>
        <w:tc>
          <w:tcPr>
            <w:tcW w:w="1709" w:type="dxa"/>
            <w:tcBorders>
              <w:top w:val="nil"/>
              <w:left w:val="nil"/>
              <w:bottom w:val="nil"/>
              <w:right w:val="nil"/>
            </w:tcBorders>
          </w:tcPr>
          <w:p w14:paraId="071D5A0E"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4 %</w:t>
            </w:r>
          </w:p>
        </w:tc>
      </w:tr>
      <w:tr w:rsidR="004135F0" w:rsidRPr="004135F0" w14:paraId="19726923" w14:textId="77777777" w:rsidTr="00777483">
        <w:trPr>
          <w:trHeight w:val="45"/>
        </w:trPr>
        <w:tc>
          <w:tcPr>
            <w:tcW w:w="5665" w:type="dxa"/>
            <w:tcBorders>
              <w:top w:val="nil"/>
              <w:left w:val="nil"/>
              <w:bottom w:val="nil"/>
              <w:right w:val="nil"/>
            </w:tcBorders>
          </w:tcPr>
          <w:p w14:paraId="07E0DC27"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CHU</w:t>
            </w:r>
          </w:p>
        </w:tc>
        <w:tc>
          <w:tcPr>
            <w:tcW w:w="1688" w:type="dxa"/>
            <w:tcBorders>
              <w:top w:val="nil"/>
              <w:left w:val="nil"/>
              <w:bottom w:val="nil"/>
              <w:right w:val="nil"/>
            </w:tcBorders>
          </w:tcPr>
          <w:p w14:paraId="586A879A"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188</w:t>
            </w:r>
          </w:p>
        </w:tc>
        <w:tc>
          <w:tcPr>
            <w:tcW w:w="1709" w:type="dxa"/>
            <w:tcBorders>
              <w:top w:val="nil"/>
              <w:left w:val="nil"/>
              <w:bottom w:val="nil"/>
              <w:right w:val="nil"/>
            </w:tcBorders>
          </w:tcPr>
          <w:p w14:paraId="09E10B12"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20 %</w:t>
            </w:r>
          </w:p>
        </w:tc>
      </w:tr>
      <w:tr w:rsidR="004135F0" w:rsidRPr="004135F0" w14:paraId="5C6BA842" w14:textId="77777777" w:rsidTr="00777483">
        <w:trPr>
          <w:trHeight w:val="45"/>
        </w:trPr>
        <w:tc>
          <w:tcPr>
            <w:tcW w:w="5665" w:type="dxa"/>
            <w:tcBorders>
              <w:top w:val="nil"/>
              <w:left w:val="nil"/>
              <w:bottom w:val="nil"/>
              <w:right w:val="nil"/>
            </w:tcBorders>
          </w:tcPr>
          <w:p w14:paraId="55383503"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Structure </w:t>
            </w:r>
            <w:proofErr w:type="spellStart"/>
            <w:r w:rsidRPr="004135F0">
              <w:rPr>
                <w:rFonts w:ascii="Arial Narrow" w:hAnsi="Arial Narrow" w:cs="Times New Roman"/>
                <w:sz w:val="20"/>
                <w:szCs w:val="20"/>
              </w:rPr>
              <w:t>privée</w:t>
            </w:r>
            <w:proofErr w:type="spellEnd"/>
          </w:p>
        </w:tc>
        <w:tc>
          <w:tcPr>
            <w:tcW w:w="1688" w:type="dxa"/>
            <w:tcBorders>
              <w:top w:val="nil"/>
              <w:left w:val="nil"/>
              <w:bottom w:val="nil"/>
              <w:right w:val="nil"/>
            </w:tcBorders>
          </w:tcPr>
          <w:p w14:paraId="6856910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117</w:t>
            </w:r>
          </w:p>
        </w:tc>
        <w:tc>
          <w:tcPr>
            <w:tcW w:w="1709" w:type="dxa"/>
            <w:tcBorders>
              <w:top w:val="nil"/>
              <w:left w:val="nil"/>
              <w:bottom w:val="nil"/>
              <w:right w:val="nil"/>
            </w:tcBorders>
          </w:tcPr>
          <w:p w14:paraId="5C058FD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12 %</w:t>
            </w:r>
          </w:p>
        </w:tc>
      </w:tr>
      <w:tr w:rsidR="004135F0" w:rsidRPr="004135F0" w14:paraId="4A910AD2" w14:textId="77777777" w:rsidTr="00777483">
        <w:trPr>
          <w:trHeight w:val="45"/>
        </w:trPr>
        <w:tc>
          <w:tcPr>
            <w:tcW w:w="5665" w:type="dxa"/>
            <w:tcBorders>
              <w:top w:val="nil"/>
              <w:left w:val="nil"/>
              <w:bottom w:val="nil"/>
              <w:right w:val="nil"/>
            </w:tcBorders>
          </w:tcPr>
          <w:p w14:paraId="2922C990" w14:textId="77777777" w:rsidR="004135F0" w:rsidRPr="004135F0" w:rsidRDefault="004135F0" w:rsidP="00777483">
            <w:pPr>
              <w:rPr>
                <w:rFonts w:ascii="Arial Narrow" w:hAnsi="Arial Narrow" w:cs="Times New Roman"/>
                <w:sz w:val="20"/>
                <w:szCs w:val="20"/>
              </w:rPr>
            </w:pPr>
            <w:proofErr w:type="spellStart"/>
            <w:r w:rsidRPr="004135F0">
              <w:rPr>
                <w:rFonts w:ascii="Arial Narrow" w:hAnsi="Arial Narrow" w:cs="Times New Roman"/>
                <w:b/>
                <w:bCs/>
                <w:sz w:val="20"/>
                <w:szCs w:val="20"/>
              </w:rPr>
              <w:t>Ancienneté</w:t>
            </w:r>
            <w:proofErr w:type="spellEnd"/>
          </w:p>
        </w:tc>
        <w:tc>
          <w:tcPr>
            <w:tcW w:w="1688" w:type="dxa"/>
            <w:tcBorders>
              <w:top w:val="nil"/>
              <w:left w:val="nil"/>
              <w:bottom w:val="nil"/>
              <w:right w:val="nil"/>
            </w:tcBorders>
          </w:tcPr>
          <w:p w14:paraId="369B6E22" w14:textId="77777777" w:rsidR="004135F0" w:rsidRPr="004135F0" w:rsidRDefault="004135F0" w:rsidP="00777483">
            <w:pPr>
              <w:jc w:val="center"/>
              <w:rPr>
                <w:rFonts w:ascii="Arial Narrow" w:hAnsi="Arial Narrow" w:cs="Times New Roman"/>
                <w:sz w:val="20"/>
                <w:szCs w:val="20"/>
              </w:rPr>
            </w:pPr>
          </w:p>
        </w:tc>
        <w:tc>
          <w:tcPr>
            <w:tcW w:w="1709" w:type="dxa"/>
            <w:tcBorders>
              <w:top w:val="nil"/>
              <w:left w:val="nil"/>
              <w:bottom w:val="nil"/>
              <w:right w:val="nil"/>
            </w:tcBorders>
          </w:tcPr>
          <w:p w14:paraId="03DCD982" w14:textId="77777777" w:rsidR="004135F0" w:rsidRPr="004135F0" w:rsidRDefault="004135F0" w:rsidP="00777483">
            <w:pPr>
              <w:jc w:val="center"/>
              <w:rPr>
                <w:rFonts w:ascii="Arial Narrow" w:hAnsi="Arial Narrow" w:cs="Times New Roman"/>
                <w:sz w:val="20"/>
                <w:szCs w:val="20"/>
              </w:rPr>
            </w:pPr>
          </w:p>
        </w:tc>
      </w:tr>
      <w:tr w:rsidR="004135F0" w:rsidRPr="004135F0" w14:paraId="7F65ACB4" w14:textId="77777777" w:rsidTr="00777483">
        <w:trPr>
          <w:trHeight w:val="45"/>
        </w:trPr>
        <w:tc>
          <w:tcPr>
            <w:tcW w:w="5665" w:type="dxa"/>
            <w:tcBorders>
              <w:top w:val="nil"/>
              <w:left w:val="nil"/>
              <w:bottom w:val="nil"/>
              <w:right w:val="nil"/>
            </w:tcBorders>
          </w:tcPr>
          <w:p w14:paraId="3958F5C7"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[1 ;2] </w:t>
            </w:r>
            <w:proofErr w:type="spellStart"/>
            <w:r w:rsidRPr="004135F0">
              <w:rPr>
                <w:rFonts w:ascii="Arial Narrow" w:hAnsi="Arial Narrow" w:cs="Times New Roman"/>
                <w:sz w:val="20"/>
                <w:szCs w:val="20"/>
              </w:rPr>
              <w:t>ans</w:t>
            </w:r>
            <w:proofErr w:type="spellEnd"/>
          </w:p>
        </w:tc>
        <w:tc>
          <w:tcPr>
            <w:tcW w:w="1688" w:type="dxa"/>
            <w:tcBorders>
              <w:top w:val="nil"/>
              <w:left w:val="nil"/>
              <w:bottom w:val="nil"/>
              <w:right w:val="nil"/>
            </w:tcBorders>
          </w:tcPr>
          <w:p w14:paraId="24D9A4D1"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318</w:t>
            </w:r>
          </w:p>
        </w:tc>
        <w:tc>
          <w:tcPr>
            <w:tcW w:w="1709" w:type="dxa"/>
            <w:tcBorders>
              <w:top w:val="nil"/>
              <w:left w:val="nil"/>
              <w:bottom w:val="nil"/>
              <w:right w:val="nil"/>
            </w:tcBorders>
          </w:tcPr>
          <w:p w14:paraId="4C94B161"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33,02 %</w:t>
            </w:r>
          </w:p>
        </w:tc>
      </w:tr>
      <w:tr w:rsidR="004135F0" w:rsidRPr="004135F0" w14:paraId="3CB4892F" w14:textId="77777777" w:rsidTr="00777483">
        <w:trPr>
          <w:trHeight w:val="45"/>
        </w:trPr>
        <w:tc>
          <w:tcPr>
            <w:tcW w:w="5665" w:type="dxa"/>
            <w:tcBorders>
              <w:top w:val="nil"/>
              <w:left w:val="nil"/>
              <w:bottom w:val="nil"/>
              <w:right w:val="nil"/>
            </w:tcBorders>
          </w:tcPr>
          <w:p w14:paraId="7A9F66C1"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[3 ;4] </w:t>
            </w:r>
            <w:proofErr w:type="spellStart"/>
            <w:r w:rsidRPr="004135F0">
              <w:rPr>
                <w:rFonts w:ascii="Arial Narrow" w:hAnsi="Arial Narrow" w:cs="Times New Roman"/>
                <w:sz w:val="20"/>
                <w:szCs w:val="20"/>
              </w:rPr>
              <w:t>ans</w:t>
            </w:r>
            <w:proofErr w:type="spellEnd"/>
          </w:p>
        </w:tc>
        <w:tc>
          <w:tcPr>
            <w:tcW w:w="1688" w:type="dxa"/>
            <w:tcBorders>
              <w:top w:val="nil"/>
              <w:left w:val="nil"/>
              <w:bottom w:val="nil"/>
              <w:right w:val="nil"/>
            </w:tcBorders>
          </w:tcPr>
          <w:p w14:paraId="5035F392"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168</w:t>
            </w:r>
          </w:p>
        </w:tc>
        <w:tc>
          <w:tcPr>
            <w:tcW w:w="1709" w:type="dxa"/>
            <w:tcBorders>
              <w:top w:val="nil"/>
              <w:left w:val="nil"/>
              <w:bottom w:val="nil"/>
              <w:right w:val="nil"/>
            </w:tcBorders>
          </w:tcPr>
          <w:p w14:paraId="40CE12D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17,45 %</w:t>
            </w:r>
          </w:p>
        </w:tc>
      </w:tr>
      <w:tr w:rsidR="004135F0" w:rsidRPr="004135F0" w14:paraId="77AFBEE6" w14:textId="77777777" w:rsidTr="00777483">
        <w:trPr>
          <w:trHeight w:val="45"/>
        </w:trPr>
        <w:tc>
          <w:tcPr>
            <w:tcW w:w="5665" w:type="dxa"/>
            <w:tcBorders>
              <w:top w:val="nil"/>
              <w:left w:val="nil"/>
              <w:bottom w:val="nil"/>
              <w:right w:val="nil"/>
            </w:tcBorders>
          </w:tcPr>
          <w:p w14:paraId="74FF9ED2"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[5 ;8] </w:t>
            </w:r>
            <w:proofErr w:type="spellStart"/>
            <w:r w:rsidRPr="004135F0">
              <w:rPr>
                <w:rFonts w:ascii="Arial Narrow" w:hAnsi="Arial Narrow" w:cs="Times New Roman"/>
                <w:sz w:val="20"/>
                <w:szCs w:val="20"/>
              </w:rPr>
              <w:t>ans</w:t>
            </w:r>
            <w:proofErr w:type="spellEnd"/>
          </w:p>
        </w:tc>
        <w:tc>
          <w:tcPr>
            <w:tcW w:w="1688" w:type="dxa"/>
            <w:tcBorders>
              <w:top w:val="nil"/>
              <w:left w:val="nil"/>
              <w:bottom w:val="nil"/>
              <w:right w:val="nil"/>
            </w:tcBorders>
          </w:tcPr>
          <w:p w14:paraId="0D7CDAD3"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196</w:t>
            </w:r>
          </w:p>
        </w:tc>
        <w:tc>
          <w:tcPr>
            <w:tcW w:w="1709" w:type="dxa"/>
            <w:tcBorders>
              <w:top w:val="nil"/>
              <w:left w:val="nil"/>
              <w:bottom w:val="nil"/>
              <w:right w:val="nil"/>
            </w:tcBorders>
          </w:tcPr>
          <w:p w14:paraId="09E37FF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20,35 %</w:t>
            </w:r>
          </w:p>
        </w:tc>
      </w:tr>
      <w:tr w:rsidR="004135F0" w:rsidRPr="004135F0" w14:paraId="615B4AAF" w14:textId="77777777" w:rsidTr="00777483">
        <w:trPr>
          <w:trHeight w:val="45"/>
        </w:trPr>
        <w:tc>
          <w:tcPr>
            <w:tcW w:w="5665" w:type="dxa"/>
            <w:tcBorders>
              <w:top w:val="nil"/>
              <w:left w:val="nil"/>
              <w:bottom w:val="nil"/>
              <w:right w:val="nil"/>
            </w:tcBorders>
          </w:tcPr>
          <w:p w14:paraId="2C3B7DE9" w14:textId="77777777" w:rsidR="004135F0" w:rsidRPr="004135F0" w:rsidRDefault="004135F0" w:rsidP="00777483">
            <w:pPr>
              <w:rPr>
                <w:rFonts w:ascii="Arial Narrow" w:hAnsi="Arial Narrow" w:cs="Times New Roman"/>
                <w:sz w:val="20"/>
                <w:szCs w:val="20"/>
              </w:rPr>
            </w:pPr>
            <w:r w:rsidRPr="004135F0">
              <w:rPr>
                <w:rFonts w:ascii="Arial Narrow" w:hAnsi="Arial Narrow" w:cs="Times New Roman"/>
                <w:sz w:val="20"/>
                <w:szCs w:val="20"/>
              </w:rPr>
              <w:t xml:space="preserve">    9 </w:t>
            </w:r>
            <w:proofErr w:type="spellStart"/>
            <w:r w:rsidRPr="004135F0">
              <w:rPr>
                <w:rFonts w:ascii="Arial Narrow" w:hAnsi="Arial Narrow" w:cs="Times New Roman"/>
                <w:sz w:val="20"/>
                <w:szCs w:val="20"/>
              </w:rPr>
              <w:t>ans</w:t>
            </w:r>
            <w:proofErr w:type="spellEnd"/>
            <w:r w:rsidRPr="004135F0">
              <w:rPr>
                <w:rFonts w:ascii="Arial Narrow" w:hAnsi="Arial Narrow" w:cs="Times New Roman"/>
                <w:sz w:val="20"/>
                <w:szCs w:val="20"/>
              </w:rPr>
              <w:t xml:space="preserve"> et plus</w:t>
            </w:r>
          </w:p>
        </w:tc>
        <w:tc>
          <w:tcPr>
            <w:tcW w:w="1688" w:type="dxa"/>
            <w:tcBorders>
              <w:top w:val="nil"/>
              <w:left w:val="nil"/>
              <w:bottom w:val="nil"/>
              <w:right w:val="nil"/>
            </w:tcBorders>
          </w:tcPr>
          <w:p w14:paraId="015A0CF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281</w:t>
            </w:r>
          </w:p>
        </w:tc>
        <w:tc>
          <w:tcPr>
            <w:tcW w:w="1709" w:type="dxa"/>
            <w:tcBorders>
              <w:top w:val="nil"/>
              <w:left w:val="nil"/>
              <w:bottom w:val="nil"/>
              <w:right w:val="nil"/>
            </w:tcBorders>
          </w:tcPr>
          <w:p w14:paraId="76B037D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29,18 %</w:t>
            </w:r>
          </w:p>
        </w:tc>
      </w:tr>
      <w:tr w:rsidR="004135F0" w:rsidRPr="00514CA4" w14:paraId="5A0905C0" w14:textId="77777777" w:rsidTr="00777483">
        <w:trPr>
          <w:trHeight w:val="45"/>
        </w:trPr>
        <w:tc>
          <w:tcPr>
            <w:tcW w:w="5665" w:type="dxa"/>
            <w:tcBorders>
              <w:top w:val="nil"/>
              <w:left w:val="nil"/>
              <w:bottom w:val="nil"/>
              <w:right w:val="nil"/>
            </w:tcBorders>
            <w:vAlign w:val="center"/>
          </w:tcPr>
          <w:p w14:paraId="064D12A4" w14:textId="77777777" w:rsidR="004135F0" w:rsidRPr="004135F0" w:rsidRDefault="004135F0" w:rsidP="00777483">
            <w:pPr>
              <w:rPr>
                <w:rFonts w:ascii="Arial Narrow" w:hAnsi="Arial Narrow" w:cs="Times New Roman"/>
                <w:sz w:val="20"/>
                <w:szCs w:val="20"/>
                <w:lang w:val="fr-FR"/>
              </w:rPr>
            </w:pPr>
            <w:r w:rsidRPr="004135F0">
              <w:rPr>
                <w:rFonts w:ascii="Arial Narrow" w:hAnsi="Arial Narrow" w:cs="Times New Roman"/>
                <w:b/>
                <w:bCs/>
                <w:sz w:val="20"/>
                <w:szCs w:val="20"/>
                <w:lang w:val="fr-FR"/>
              </w:rPr>
              <w:t>Année de la dernière formation reçue en prévention des infections associées aux soins</w:t>
            </w:r>
          </w:p>
        </w:tc>
        <w:tc>
          <w:tcPr>
            <w:tcW w:w="1688" w:type="dxa"/>
            <w:tcBorders>
              <w:top w:val="nil"/>
              <w:left w:val="nil"/>
              <w:bottom w:val="nil"/>
              <w:right w:val="nil"/>
            </w:tcBorders>
            <w:vAlign w:val="center"/>
          </w:tcPr>
          <w:p w14:paraId="55D0C2BE" w14:textId="77777777" w:rsidR="004135F0" w:rsidRPr="004135F0" w:rsidRDefault="004135F0" w:rsidP="00777483">
            <w:pPr>
              <w:jc w:val="center"/>
              <w:rPr>
                <w:rFonts w:ascii="Arial Narrow" w:hAnsi="Arial Narrow" w:cs="Times New Roman"/>
                <w:sz w:val="20"/>
                <w:szCs w:val="20"/>
                <w:lang w:val="fr-FR"/>
              </w:rPr>
            </w:pPr>
          </w:p>
        </w:tc>
        <w:tc>
          <w:tcPr>
            <w:tcW w:w="1709" w:type="dxa"/>
            <w:tcBorders>
              <w:top w:val="nil"/>
              <w:left w:val="nil"/>
              <w:bottom w:val="nil"/>
              <w:right w:val="nil"/>
            </w:tcBorders>
            <w:vAlign w:val="center"/>
          </w:tcPr>
          <w:p w14:paraId="44CBD076" w14:textId="77777777" w:rsidR="004135F0" w:rsidRPr="004135F0" w:rsidRDefault="004135F0" w:rsidP="00777483">
            <w:pPr>
              <w:jc w:val="center"/>
              <w:rPr>
                <w:rFonts w:ascii="Arial Narrow" w:hAnsi="Arial Narrow" w:cs="Times New Roman"/>
                <w:sz w:val="20"/>
                <w:szCs w:val="20"/>
                <w:lang w:val="fr-FR"/>
              </w:rPr>
            </w:pPr>
          </w:p>
        </w:tc>
      </w:tr>
      <w:tr w:rsidR="004135F0" w:rsidRPr="004135F0" w14:paraId="26DD751D" w14:textId="77777777" w:rsidTr="00777483">
        <w:trPr>
          <w:trHeight w:val="45"/>
        </w:trPr>
        <w:tc>
          <w:tcPr>
            <w:tcW w:w="5665" w:type="dxa"/>
            <w:tcBorders>
              <w:top w:val="nil"/>
              <w:left w:val="nil"/>
              <w:bottom w:val="nil"/>
              <w:right w:val="nil"/>
            </w:tcBorders>
          </w:tcPr>
          <w:p w14:paraId="272E6A26"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Jamais</w:t>
            </w:r>
          </w:p>
        </w:tc>
        <w:tc>
          <w:tcPr>
            <w:tcW w:w="1688" w:type="dxa"/>
            <w:tcBorders>
              <w:top w:val="nil"/>
              <w:left w:val="nil"/>
              <w:bottom w:val="nil"/>
              <w:right w:val="nil"/>
            </w:tcBorders>
          </w:tcPr>
          <w:p w14:paraId="3AAAEDA6"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605</w:t>
            </w:r>
          </w:p>
        </w:tc>
        <w:tc>
          <w:tcPr>
            <w:tcW w:w="1709" w:type="dxa"/>
            <w:tcBorders>
              <w:top w:val="nil"/>
              <w:left w:val="nil"/>
              <w:bottom w:val="nil"/>
              <w:right w:val="nil"/>
            </w:tcBorders>
          </w:tcPr>
          <w:p w14:paraId="4A6BDBD6"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62,8 %</w:t>
            </w:r>
          </w:p>
        </w:tc>
      </w:tr>
      <w:tr w:rsidR="004135F0" w:rsidRPr="004135F0" w14:paraId="28B9EB68" w14:textId="77777777" w:rsidTr="00777483">
        <w:trPr>
          <w:trHeight w:val="45"/>
        </w:trPr>
        <w:tc>
          <w:tcPr>
            <w:tcW w:w="5665" w:type="dxa"/>
            <w:tcBorders>
              <w:top w:val="nil"/>
              <w:left w:val="nil"/>
              <w:bottom w:val="nil"/>
              <w:right w:val="nil"/>
            </w:tcBorders>
          </w:tcPr>
          <w:p w14:paraId="18E2A13F"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Avant 2013</w:t>
            </w:r>
          </w:p>
        </w:tc>
        <w:tc>
          <w:tcPr>
            <w:tcW w:w="1688" w:type="dxa"/>
            <w:tcBorders>
              <w:top w:val="nil"/>
              <w:left w:val="nil"/>
              <w:bottom w:val="nil"/>
              <w:right w:val="nil"/>
            </w:tcBorders>
          </w:tcPr>
          <w:p w14:paraId="49509AD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52</w:t>
            </w:r>
          </w:p>
        </w:tc>
        <w:tc>
          <w:tcPr>
            <w:tcW w:w="1709" w:type="dxa"/>
            <w:tcBorders>
              <w:top w:val="nil"/>
              <w:left w:val="nil"/>
              <w:bottom w:val="nil"/>
              <w:right w:val="nil"/>
            </w:tcBorders>
          </w:tcPr>
          <w:p w14:paraId="345129B6"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5,4 %</w:t>
            </w:r>
          </w:p>
        </w:tc>
      </w:tr>
      <w:tr w:rsidR="004135F0" w:rsidRPr="004135F0" w14:paraId="75120CE3" w14:textId="77777777" w:rsidTr="00777483">
        <w:trPr>
          <w:trHeight w:val="45"/>
        </w:trPr>
        <w:tc>
          <w:tcPr>
            <w:tcW w:w="5665" w:type="dxa"/>
            <w:tcBorders>
              <w:top w:val="nil"/>
              <w:left w:val="nil"/>
              <w:bottom w:val="nil"/>
              <w:right w:val="nil"/>
            </w:tcBorders>
          </w:tcPr>
          <w:p w14:paraId="7F88C8C6"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2014</w:t>
            </w:r>
          </w:p>
        </w:tc>
        <w:tc>
          <w:tcPr>
            <w:tcW w:w="1688" w:type="dxa"/>
            <w:tcBorders>
              <w:top w:val="nil"/>
              <w:left w:val="nil"/>
              <w:bottom w:val="nil"/>
              <w:right w:val="nil"/>
            </w:tcBorders>
          </w:tcPr>
          <w:p w14:paraId="3D8B4585"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5</w:t>
            </w:r>
          </w:p>
        </w:tc>
        <w:tc>
          <w:tcPr>
            <w:tcW w:w="1709" w:type="dxa"/>
            <w:tcBorders>
              <w:top w:val="nil"/>
              <w:left w:val="nil"/>
              <w:bottom w:val="nil"/>
              <w:right w:val="nil"/>
            </w:tcBorders>
          </w:tcPr>
          <w:p w14:paraId="22F6E73E"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0,5 %</w:t>
            </w:r>
          </w:p>
        </w:tc>
      </w:tr>
      <w:tr w:rsidR="004135F0" w:rsidRPr="004135F0" w14:paraId="5DEBEB56" w14:textId="77777777" w:rsidTr="00777483">
        <w:trPr>
          <w:trHeight w:val="45"/>
        </w:trPr>
        <w:tc>
          <w:tcPr>
            <w:tcW w:w="5665" w:type="dxa"/>
            <w:tcBorders>
              <w:top w:val="nil"/>
              <w:left w:val="nil"/>
              <w:bottom w:val="nil"/>
              <w:right w:val="nil"/>
            </w:tcBorders>
          </w:tcPr>
          <w:p w14:paraId="508558B9"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2015</w:t>
            </w:r>
          </w:p>
        </w:tc>
        <w:tc>
          <w:tcPr>
            <w:tcW w:w="1688" w:type="dxa"/>
            <w:tcBorders>
              <w:top w:val="nil"/>
              <w:left w:val="nil"/>
              <w:bottom w:val="nil"/>
              <w:right w:val="nil"/>
            </w:tcBorders>
          </w:tcPr>
          <w:p w14:paraId="26A99F9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33</w:t>
            </w:r>
          </w:p>
        </w:tc>
        <w:tc>
          <w:tcPr>
            <w:tcW w:w="1709" w:type="dxa"/>
            <w:tcBorders>
              <w:top w:val="nil"/>
              <w:left w:val="nil"/>
              <w:bottom w:val="nil"/>
              <w:right w:val="nil"/>
            </w:tcBorders>
          </w:tcPr>
          <w:p w14:paraId="545BB99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3,4 %</w:t>
            </w:r>
          </w:p>
        </w:tc>
      </w:tr>
      <w:tr w:rsidR="004135F0" w:rsidRPr="004135F0" w14:paraId="3CCD06BD" w14:textId="77777777" w:rsidTr="00777483">
        <w:trPr>
          <w:trHeight w:val="45"/>
        </w:trPr>
        <w:tc>
          <w:tcPr>
            <w:tcW w:w="5665" w:type="dxa"/>
            <w:tcBorders>
              <w:top w:val="nil"/>
              <w:left w:val="nil"/>
              <w:bottom w:val="nil"/>
              <w:right w:val="nil"/>
            </w:tcBorders>
          </w:tcPr>
          <w:p w14:paraId="3EB02A65"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2016</w:t>
            </w:r>
          </w:p>
        </w:tc>
        <w:tc>
          <w:tcPr>
            <w:tcW w:w="1688" w:type="dxa"/>
            <w:tcBorders>
              <w:top w:val="nil"/>
              <w:left w:val="nil"/>
              <w:bottom w:val="nil"/>
              <w:right w:val="nil"/>
            </w:tcBorders>
          </w:tcPr>
          <w:p w14:paraId="07572A9A"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1</w:t>
            </w:r>
          </w:p>
        </w:tc>
        <w:tc>
          <w:tcPr>
            <w:tcW w:w="1709" w:type="dxa"/>
            <w:tcBorders>
              <w:top w:val="nil"/>
              <w:left w:val="nil"/>
              <w:bottom w:val="nil"/>
              <w:right w:val="nil"/>
            </w:tcBorders>
          </w:tcPr>
          <w:p w14:paraId="360A1B7B"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0,1 %</w:t>
            </w:r>
          </w:p>
        </w:tc>
      </w:tr>
      <w:tr w:rsidR="004135F0" w:rsidRPr="004135F0" w14:paraId="3F3EFA71" w14:textId="77777777" w:rsidTr="00777483">
        <w:trPr>
          <w:trHeight w:val="45"/>
        </w:trPr>
        <w:tc>
          <w:tcPr>
            <w:tcW w:w="5665" w:type="dxa"/>
            <w:tcBorders>
              <w:top w:val="nil"/>
              <w:left w:val="nil"/>
              <w:bottom w:val="nil"/>
              <w:right w:val="nil"/>
            </w:tcBorders>
          </w:tcPr>
          <w:p w14:paraId="20885E53"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2017</w:t>
            </w:r>
          </w:p>
        </w:tc>
        <w:tc>
          <w:tcPr>
            <w:tcW w:w="1688" w:type="dxa"/>
            <w:tcBorders>
              <w:top w:val="nil"/>
              <w:left w:val="nil"/>
              <w:bottom w:val="nil"/>
              <w:right w:val="nil"/>
            </w:tcBorders>
          </w:tcPr>
          <w:p w14:paraId="2A974B94"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25</w:t>
            </w:r>
          </w:p>
        </w:tc>
        <w:tc>
          <w:tcPr>
            <w:tcW w:w="1709" w:type="dxa"/>
            <w:tcBorders>
              <w:top w:val="nil"/>
              <w:left w:val="nil"/>
              <w:bottom w:val="nil"/>
              <w:right w:val="nil"/>
            </w:tcBorders>
          </w:tcPr>
          <w:p w14:paraId="093B33CD"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2,6 %</w:t>
            </w:r>
          </w:p>
        </w:tc>
      </w:tr>
      <w:tr w:rsidR="004135F0" w:rsidRPr="004135F0" w14:paraId="4D2F6CDB" w14:textId="77777777" w:rsidTr="00777483">
        <w:trPr>
          <w:trHeight w:val="45"/>
        </w:trPr>
        <w:tc>
          <w:tcPr>
            <w:tcW w:w="5665" w:type="dxa"/>
            <w:tcBorders>
              <w:top w:val="nil"/>
              <w:left w:val="nil"/>
              <w:bottom w:val="nil"/>
              <w:right w:val="nil"/>
            </w:tcBorders>
          </w:tcPr>
          <w:p w14:paraId="6E1A9904"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2018</w:t>
            </w:r>
          </w:p>
        </w:tc>
        <w:tc>
          <w:tcPr>
            <w:tcW w:w="1688" w:type="dxa"/>
            <w:tcBorders>
              <w:top w:val="nil"/>
              <w:left w:val="nil"/>
              <w:bottom w:val="nil"/>
              <w:right w:val="nil"/>
            </w:tcBorders>
          </w:tcPr>
          <w:p w14:paraId="0D6D11BD"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47</w:t>
            </w:r>
          </w:p>
        </w:tc>
        <w:tc>
          <w:tcPr>
            <w:tcW w:w="1709" w:type="dxa"/>
            <w:tcBorders>
              <w:top w:val="nil"/>
              <w:left w:val="nil"/>
              <w:bottom w:val="nil"/>
              <w:right w:val="nil"/>
            </w:tcBorders>
          </w:tcPr>
          <w:p w14:paraId="2C4E26B3"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4,9 %</w:t>
            </w:r>
          </w:p>
        </w:tc>
      </w:tr>
      <w:tr w:rsidR="004135F0" w:rsidRPr="004135F0" w14:paraId="01C99E04" w14:textId="77777777" w:rsidTr="00777483">
        <w:trPr>
          <w:trHeight w:val="45"/>
        </w:trPr>
        <w:tc>
          <w:tcPr>
            <w:tcW w:w="5665" w:type="dxa"/>
            <w:tcBorders>
              <w:top w:val="nil"/>
              <w:left w:val="nil"/>
              <w:bottom w:val="nil"/>
              <w:right w:val="nil"/>
            </w:tcBorders>
          </w:tcPr>
          <w:p w14:paraId="2F6FE081"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2019</w:t>
            </w:r>
          </w:p>
        </w:tc>
        <w:tc>
          <w:tcPr>
            <w:tcW w:w="1688" w:type="dxa"/>
            <w:tcBorders>
              <w:top w:val="nil"/>
              <w:left w:val="nil"/>
              <w:bottom w:val="nil"/>
              <w:right w:val="nil"/>
            </w:tcBorders>
          </w:tcPr>
          <w:p w14:paraId="7204919F"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23</w:t>
            </w:r>
          </w:p>
        </w:tc>
        <w:tc>
          <w:tcPr>
            <w:tcW w:w="1709" w:type="dxa"/>
            <w:tcBorders>
              <w:top w:val="nil"/>
              <w:left w:val="nil"/>
              <w:bottom w:val="nil"/>
              <w:right w:val="nil"/>
            </w:tcBorders>
          </w:tcPr>
          <w:p w14:paraId="34537C05"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2,4 %</w:t>
            </w:r>
          </w:p>
        </w:tc>
      </w:tr>
      <w:tr w:rsidR="004135F0" w:rsidRPr="004135F0" w14:paraId="5FF7CD83" w14:textId="77777777" w:rsidTr="00777483">
        <w:trPr>
          <w:trHeight w:val="45"/>
        </w:trPr>
        <w:tc>
          <w:tcPr>
            <w:tcW w:w="5665" w:type="dxa"/>
            <w:tcBorders>
              <w:top w:val="nil"/>
              <w:left w:val="nil"/>
              <w:bottom w:val="nil"/>
              <w:right w:val="nil"/>
            </w:tcBorders>
          </w:tcPr>
          <w:p w14:paraId="2EBFBCE5"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2020</w:t>
            </w:r>
          </w:p>
        </w:tc>
        <w:tc>
          <w:tcPr>
            <w:tcW w:w="1688" w:type="dxa"/>
            <w:tcBorders>
              <w:top w:val="nil"/>
              <w:left w:val="nil"/>
              <w:bottom w:val="nil"/>
              <w:right w:val="nil"/>
            </w:tcBorders>
          </w:tcPr>
          <w:p w14:paraId="0CBE74F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76</w:t>
            </w:r>
          </w:p>
        </w:tc>
        <w:tc>
          <w:tcPr>
            <w:tcW w:w="1709" w:type="dxa"/>
            <w:tcBorders>
              <w:top w:val="nil"/>
              <w:left w:val="nil"/>
              <w:bottom w:val="nil"/>
              <w:right w:val="nil"/>
            </w:tcBorders>
          </w:tcPr>
          <w:p w14:paraId="0198DA35"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7,9 %</w:t>
            </w:r>
          </w:p>
        </w:tc>
      </w:tr>
      <w:tr w:rsidR="004135F0" w:rsidRPr="004135F0" w14:paraId="26BDA941" w14:textId="77777777" w:rsidTr="00777483">
        <w:trPr>
          <w:trHeight w:val="45"/>
        </w:trPr>
        <w:tc>
          <w:tcPr>
            <w:tcW w:w="5665" w:type="dxa"/>
            <w:tcBorders>
              <w:top w:val="nil"/>
              <w:left w:val="nil"/>
              <w:bottom w:val="nil"/>
              <w:right w:val="nil"/>
            </w:tcBorders>
          </w:tcPr>
          <w:p w14:paraId="40940584"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2021</w:t>
            </w:r>
          </w:p>
        </w:tc>
        <w:tc>
          <w:tcPr>
            <w:tcW w:w="1688" w:type="dxa"/>
            <w:tcBorders>
              <w:top w:val="nil"/>
              <w:left w:val="nil"/>
              <w:bottom w:val="nil"/>
              <w:right w:val="nil"/>
            </w:tcBorders>
          </w:tcPr>
          <w:p w14:paraId="09A45F9D"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54</w:t>
            </w:r>
          </w:p>
        </w:tc>
        <w:tc>
          <w:tcPr>
            <w:tcW w:w="1709" w:type="dxa"/>
            <w:tcBorders>
              <w:top w:val="nil"/>
              <w:left w:val="nil"/>
              <w:bottom w:val="nil"/>
              <w:right w:val="nil"/>
            </w:tcBorders>
          </w:tcPr>
          <w:p w14:paraId="01F4C88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5,6 %</w:t>
            </w:r>
          </w:p>
        </w:tc>
      </w:tr>
      <w:tr w:rsidR="004135F0" w:rsidRPr="004135F0" w14:paraId="4B4F02F6" w14:textId="77777777" w:rsidTr="00D13460">
        <w:trPr>
          <w:trHeight w:val="45"/>
        </w:trPr>
        <w:tc>
          <w:tcPr>
            <w:tcW w:w="5665" w:type="dxa"/>
            <w:tcBorders>
              <w:top w:val="nil"/>
              <w:left w:val="nil"/>
              <w:bottom w:val="nil"/>
              <w:right w:val="nil"/>
            </w:tcBorders>
          </w:tcPr>
          <w:p w14:paraId="5512DDA8"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2022</w:t>
            </w:r>
          </w:p>
        </w:tc>
        <w:tc>
          <w:tcPr>
            <w:tcW w:w="1688" w:type="dxa"/>
            <w:tcBorders>
              <w:top w:val="nil"/>
              <w:left w:val="nil"/>
              <w:bottom w:val="nil"/>
              <w:right w:val="nil"/>
            </w:tcBorders>
          </w:tcPr>
          <w:p w14:paraId="4FCE6BF8"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39</w:t>
            </w:r>
          </w:p>
        </w:tc>
        <w:tc>
          <w:tcPr>
            <w:tcW w:w="1709" w:type="dxa"/>
            <w:tcBorders>
              <w:top w:val="nil"/>
              <w:left w:val="nil"/>
              <w:bottom w:val="nil"/>
              <w:right w:val="nil"/>
            </w:tcBorders>
          </w:tcPr>
          <w:p w14:paraId="3D10DF30"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4,0 %</w:t>
            </w:r>
          </w:p>
        </w:tc>
      </w:tr>
      <w:tr w:rsidR="004135F0" w:rsidRPr="004135F0" w14:paraId="161E7EF2" w14:textId="77777777" w:rsidTr="00D13460">
        <w:trPr>
          <w:trHeight w:val="45"/>
        </w:trPr>
        <w:tc>
          <w:tcPr>
            <w:tcW w:w="5665" w:type="dxa"/>
            <w:tcBorders>
              <w:top w:val="nil"/>
              <w:left w:val="nil"/>
              <w:bottom w:val="single" w:sz="8" w:space="0" w:color="1F497D" w:themeColor="text2"/>
              <w:right w:val="nil"/>
            </w:tcBorders>
          </w:tcPr>
          <w:p w14:paraId="31317EFF" w14:textId="77777777" w:rsidR="004135F0" w:rsidRPr="004135F0" w:rsidRDefault="004135F0" w:rsidP="00777483">
            <w:pPr>
              <w:ind w:left="227"/>
              <w:rPr>
                <w:rFonts w:ascii="Arial Narrow" w:hAnsi="Arial Narrow" w:cs="Times New Roman"/>
                <w:sz w:val="20"/>
                <w:szCs w:val="20"/>
              </w:rPr>
            </w:pPr>
            <w:r w:rsidRPr="004135F0">
              <w:rPr>
                <w:rFonts w:ascii="Arial Narrow" w:hAnsi="Arial Narrow" w:cs="Times New Roman"/>
                <w:sz w:val="20"/>
                <w:szCs w:val="20"/>
              </w:rPr>
              <w:t>2023</w:t>
            </w:r>
          </w:p>
        </w:tc>
        <w:tc>
          <w:tcPr>
            <w:tcW w:w="1688" w:type="dxa"/>
            <w:tcBorders>
              <w:top w:val="nil"/>
              <w:left w:val="nil"/>
              <w:bottom w:val="single" w:sz="8" w:space="0" w:color="1F497D" w:themeColor="text2"/>
              <w:right w:val="nil"/>
            </w:tcBorders>
          </w:tcPr>
          <w:p w14:paraId="52E1B821"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3</w:t>
            </w:r>
          </w:p>
        </w:tc>
        <w:tc>
          <w:tcPr>
            <w:tcW w:w="1709" w:type="dxa"/>
            <w:tcBorders>
              <w:top w:val="nil"/>
              <w:left w:val="nil"/>
              <w:bottom w:val="single" w:sz="8" w:space="0" w:color="1F497D" w:themeColor="text2"/>
              <w:right w:val="nil"/>
            </w:tcBorders>
          </w:tcPr>
          <w:p w14:paraId="3861AC5F" w14:textId="77777777" w:rsidR="004135F0" w:rsidRPr="004135F0" w:rsidRDefault="004135F0" w:rsidP="00777483">
            <w:pPr>
              <w:jc w:val="center"/>
              <w:rPr>
                <w:rFonts w:ascii="Arial Narrow" w:hAnsi="Arial Narrow" w:cs="Times New Roman"/>
                <w:sz w:val="20"/>
                <w:szCs w:val="20"/>
              </w:rPr>
            </w:pPr>
            <w:r w:rsidRPr="004135F0">
              <w:rPr>
                <w:rFonts w:ascii="Arial Narrow" w:hAnsi="Arial Narrow" w:cs="Times New Roman"/>
                <w:sz w:val="20"/>
                <w:szCs w:val="20"/>
              </w:rPr>
              <w:t>0,3 %</w:t>
            </w:r>
          </w:p>
        </w:tc>
      </w:tr>
    </w:tbl>
    <w:p w14:paraId="138ACB0C" w14:textId="77777777" w:rsidR="004135F0" w:rsidRDefault="004135F0" w:rsidP="004135F0">
      <w:pPr>
        <w:jc w:val="both"/>
        <w:rPr>
          <w:rFonts w:ascii="Arial Narrow" w:hAnsi="Arial Narrow"/>
          <w:sz w:val="24"/>
          <w:szCs w:val="24"/>
          <w:lang w:val="fr-FR"/>
        </w:rPr>
      </w:pPr>
    </w:p>
    <w:p w14:paraId="18793254" w14:textId="07E8AE62" w:rsidR="00407063" w:rsidRPr="000076D1" w:rsidRDefault="0013527D" w:rsidP="005B72EA">
      <w:pPr>
        <w:pStyle w:val="Titre2"/>
        <w:rPr>
          <w:rFonts w:ascii="Arial Narrow" w:hAnsi="Arial Narrow"/>
          <w:color w:val="1F497D" w:themeColor="text2"/>
          <w:sz w:val="20"/>
          <w:szCs w:val="20"/>
          <w:lang w:val="fr-FR"/>
        </w:rPr>
      </w:pPr>
      <w:r w:rsidRPr="0013527D">
        <w:rPr>
          <w:rFonts w:ascii="Arial Narrow" w:hAnsi="Arial Narrow"/>
          <w:color w:val="1F497D" w:themeColor="text2"/>
          <w:sz w:val="20"/>
          <w:szCs w:val="20"/>
          <w:lang w:val="fr-FR"/>
        </w:rPr>
        <w:lastRenderedPageBreak/>
        <w:t>Connaissances des agents de santé sur les précautions standards de prévention des infections</w:t>
      </w:r>
    </w:p>
    <w:p w14:paraId="5E9CE09F" w14:textId="6AC454D4" w:rsidR="00E76207" w:rsidRDefault="0013527D" w:rsidP="0013527D">
      <w:pPr>
        <w:spacing w:line="240" w:lineRule="auto"/>
        <w:jc w:val="both"/>
        <w:rPr>
          <w:rFonts w:ascii="Arial Narrow" w:hAnsi="Arial Narrow"/>
          <w:sz w:val="20"/>
          <w:szCs w:val="20"/>
          <w:lang w:val="fr-FR"/>
        </w:rPr>
      </w:pPr>
      <w:r w:rsidRPr="0013527D">
        <w:rPr>
          <w:rFonts w:ascii="Arial Narrow" w:hAnsi="Arial Narrow"/>
          <w:sz w:val="20"/>
          <w:szCs w:val="20"/>
          <w:lang w:val="fr-FR"/>
        </w:rPr>
        <w:t>Le tableau 2 présente les réponses des participants de l’enquête aux questions évaluant leur connaissance sur les précautions standards de prévention des infections. Les bonnes réponses attendues sont mises en gras. La médiane du score de connaissance sur les précautions standards de prévention des infections (SCPS) était de 1 (Intervalle interquartile : 1-2). Au total, 14,64% (141/936) des participants ont été classés comme ayant une « bonne connaissance (SPI supérieur ou égal à 3).</w:t>
      </w:r>
    </w:p>
    <w:p w14:paraId="160BC375" w14:textId="5C562E41" w:rsidR="0013527D" w:rsidRDefault="0013527D" w:rsidP="0013527D">
      <w:pPr>
        <w:spacing w:line="240" w:lineRule="auto"/>
        <w:jc w:val="both"/>
        <w:rPr>
          <w:rFonts w:ascii="Arial Narrow" w:hAnsi="Arial Narrow"/>
          <w:sz w:val="20"/>
          <w:szCs w:val="20"/>
          <w:lang w:val="fr-FR"/>
        </w:rPr>
      </w:pPr>
      <w:bookmarkStart w:id="7" w:name="_Toc152136576"/>
      <w:r w:rsidRPr="0013527D">
        <w:rPr>
          <w:rFonts w:ascii="Arial Narrow" w:hAnsi="Arial Narrow"/>
          <w:b/>
          <w:bCs/>
          <w:color w:val="1F497D" w:themeColor="text2"/>
          <w:sz w:val="20"/>
          <w:szCs w:val="20"/>
          <w:lang w:val="fr-FR"/>
        </w:rPr>
        <w:t>Tableau 2</w:t>
      </w:r>
      <w:r w:rsidRPr="0013527D">
        <w:rPr>
          <w:rFonts w:ascii="Arial Narrow" w:hAnsi="Arial Narrow"/>
          <w:color w:val="1F497D" w:themeColor="text2"/>
          <w:sz w:val="20"/>
          <w:szCs w:val="20"/>
          <w:lang w:val="fr-FR"/>
        </w:rPr>
        <w:t> </w:t>
      </w:r>
      <w:r w:rsidRPr="0013527D">
        <w:rPr>
          <w:rFonts w:ascii="Arial Narrow" w:hAnsi="Arial Narrow"/>
          <w:sz w:val="20"/>
          <w:szCs w:val="20"/>
          <w:lang w:val="fr-FR"/>
        </w:rPr>
        <w:t>: Connaissances des prestataires de soins du Burkina Faso sur les précautions standards de prévention des infections, 18 septembre au 1er octobre 2023</w:t>
      </w:r>
      <w:bookmarkEnd w:id="7"/>
      <w:r w:rsidRPr="0013527D">
        <w:rPr>
          <w:rFonts w:ascii="Arial Narrow" w:hAnsi="Arial Narrow"/>
          <w:sz w:val="20"/>
          <w:szCs w:val="20"/>
          <w:lang w:val="fr-FR"/>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2"/>
        <w:gridCol w:w="1501"/>
        <w:gridCol w:w="1767"/>
      </w:tblGrid>
      <w:tr w:rsidR="0013527D" w:rsidRPr="0013527D" w14:paraId="0B72916C" w14:textId="77777777" w:rsidTr="00D13460">
        <w:trPr>
          <w:tblHeader/>
        </w:trPr>
        <w:tc>
          <w:tcPr>
            <w:tcW w:w="5685" w:type="dxa"/>
            <w:tcBorders>
              <w:top w:val="single" w:sz="8" w:space="0" w:color="1F497D" w:themeColor="text2"/>
              <w:bottom w:val="single" w:sz="8" w:space="0" w:color="1F497D" w:themeColor="text2"/>
            </w:tcBorders>
            <w:vAlign w:val="center"/>
          </w:tcPr>
          <w:p w14:paraId="015496B7" w14:textId="77777777" w:rsidR="0013527D" w:rsidRPr="0013527D" w:rsidRDefault="0013527D" w:rsidP="00777483">
            <w:pPr>
              <w:rPr>
                <w:rFonts w:ascii="Arial Narrow" w:hAnsi="Arial Narrow" w:cs="Times New Roman"/>
                <w:b/>
                <w:bCs/>
                <w:sz w:val="20"/>
                <w:szCs w:val="20"/>
              </w:rPr>
            </w:pPr>
            <w:r w:rsidRPr="0013527D">
              <w:rPr>
                <w:rFonts w:ascii="Arial Narrow" w:hAnsi="Arial Narrow" w:cs="Times New Roman"/>
                <w:b/>
                <w:bCs/>
                <w:sz w:val="20"/>
                <w:szCs w:val="20"/>
              </w:rPr>
              <w:t xml:space="preserve">Questions et </w:t>
            </w:r>
            <w:proofErr w:type="spellStart"/>
            <w:r w:rsidRPr="0013527D">
              <w:rPr>
                <w:rFonts w:ascii="Arial Narrow" w:hAnsi="Arial Narrow" w:cs="Times New Roman"/>
                <w:b/>
                <w:bCs/>
                <w:sz w:val="20"/>
                <w:szCs w:val="20"/>
              </w:rPr>
              <w:t>réponses</w:t>
            </w:r>
            <w:proofErr w:type="spellEnd"/>
          </w:p>
        </w:tc>
        <w:tc>
          <w:tcPr>
            <w:tcW w:w="1564" w:type="dxa"/>
            <w:tcBorders>
              <w:top w:val="single" w:sz="8" w:space="0" w:color="1F497D" w:themeColor="text2"/>
              <w:bottom w:val="single" w:sz="8" w:space="0" w:color="1F497D" w:themeColor="text2"/>
            </w:tcBorders>
            <w:vAlign w:val="center"/>
          </w:tcPr>
          <w:p w14:paraId="25268BAD" w14:textId="77777777" w:rsidR="0013527D" w:rsidRPr="0013527D" w:rsidRDefault="0013527D" w:rsidP="00777483">
            <w:pPr>
              <w:jc w:val="center"/>
              <w:rPr>
                <w:rFonts w:ascii="Arial Narrow" w:hAnsi="Arial Narrow" w:cs="Times New Roman"/>
                <w:b/>
                <w:bCs/>
                <w:sz w:val="20"/>
                <w:szCs w:val="20"/>
              </w:rPr>
            </w:pPr>
            <w:proofErr w:type="spellStart"/>
            <w:r w:rsidRPr="0013527D">
              <w:rPr>
                <w:rFonts w:ascii="Arial Narrow" w:hAnsi="Arial Narrow" w:cs="Times New Roman"/>
                <w:b/>
                <w:bCs/>
                <w:sz w:val="20"/>
                <w:szCs w:val="20"/>
              </w:rPr>
              <w:t>Effectifs</w:t>
            </w:r>
            <w:proofErr w:type="spellEnd"/>
          </w:p>
        </w:tc>
        <w:tc>
          <w:tcPr>
            <w:tcW w:w="1813" w:type="dxa"/>
            <w:tcBorders>
              <w:top w:val="single" w:sz="8" w:space="0" w:color="1F497D" w:themeColor="text2"/>
              <w:bottom w:val="single" w:sz="8" w:space="0" w:color="1F497D" w:themeColor="text2"/>
            </w:tcBorders>
            <w:vAlign w:val="center"/>
          </w:tcPr>
          <w:p w14:paraId="52C9313B" w14:textId="77777777" w:rsidR="0013527D" w:rsidRPr="0013527D" w:rsidRDefault="0013527D" w:rsidP="00777483">
            <w:pPr>
              <w:jc w:val="center"/>
              <w:rPr>
                <w:rFonts w:ascii="Arial Narrow" w:hAnsi="Arial Narrow" w:cs="Times New Roman"/>
                <w:b/>
                <w:bCs/>
                <w:sz w:val="20"/>
                <w:szCs w:val="20"/>
              </w:rPr>
            </w:pPr>
            <w:proofErr w:type="spellStart"/>
            <w:r w:rsidRPr="0013527D">
              <w:rPr>
                <w:rFonts w:ascii="Arial Narrow" w:hAnsi="Arial Narrow" w:cs="Times New Roman"/>
                <w:b/>
                <w:bCs/>
                <w:sz w:val="20"/>
                <w:szCs w:val="20"/>
              </w:rPr>
              <w:t>Pourcentages</w:t>
            </w:r>
            <w:proofErr w:type="spellEnd"/>
          </w:p>
        </w:tc>
      </w:tr>
      <w:tr w:rsidR="0013527D" w:rsidRPr="0013527D" w14:paraId="6488AAE0" w14:textId="77777777" w:rsidTr="00D13460">
        <w:tc>
          <w:tcPr>
            <w:tcW w:w="5685" w:type="dxa"/>
            <w:tcBorders>
              <w:top w:val="single" w:sz="8" w:space="0" w:color="1F497D" w:themeColor="text2"/>
            </w:tcBorders>
          </w:tcPr>
          <w:p w14:paraId="45418419" w14:textId="77777777" w:rsidR="0013527D" w:rsidRPr="0013527D" w:rsidRDefault="0013527D" w:rsidP="00777483">
            <w:pPr>
              <w:rPr>
                <w:rFonts w:ascii="Arial Narrow" w:hAnsi="Arial Narrow" w:cs="Times New Roman"/>
                <w:sz w:val="20"/>
                <w:szCs w:val="20"/>
              </w:rPr>
            </w:pPr>
            <w:r w:rsidRPr="0013527D">
              <w:rPr>
                <w:rFonts w:ascii="Arial Narrow" w:hAnsi="Arial Narrow" w:cs="Times New Roman"/>
                <w:sz w:val="20"/>
                <w:szCs w:val="20"/>
                <w:lang w:val="fr-FR"/>
              </w:rPr>
              <w:t xml:space="preserve">Parmi les éléments suivants, lequel est la principale voie de transmission de germes pathogènes d’un patient à un autre au sein d’un établissement de santé ? </w:t>
            </w:r>
            <w:r w:rsidRPr="0013527D">
              <w:rPr>
                <w:rFonts w:ascii="Arial Narrow" w:hAnsi="Arial Narrow" w:cs="Times New Roman"/>
                <w:sz w:val="20"/>
                <w:szCs w:val="20"/>
              </w:rPr>
              <w:t xml:space="preserve">(Une </w:t>
            </w:r>
            <w:proofErr w:type="spellStart"/>
            <w:r w:rsidRPr="0013527D">
              <w:rPr>
                <w:rFonts w:ascii="Arial Narrow" w:hAnsi="Arial Narrow" w:cs="Times New Roman"/>
                <w:sz w:val="20"/>
                <w:szCs w:val="20"/>
              </w:rPr>
              <w:t>seule</w:t>
            </w:r>
            <w:proofErr w:type="spellEnd"/>
            <w:r w:rsidRPr="0013527D">
              <w:rPr>
                <w:rFonts w:ascii="Arial Narrow" w:hAnsi="Arial Narrow" w:cs="Times New Roman"/>
                <w:sz w:val="20"/>
                <w:szCs w:val="20"/>
              </w:rPr>
              <w:t xml:space="preserve"> </w:t>
            </w:r>
            <w:proofErr w:type="spellStart"/>
            <w:r w:rsidRPr="0013527D">
              <w:rPr>
                <w:rFonts w:ascii="Arial Narrow" w:hAnsi="Arial Narrow" w:cs="Times New Roman"/>
                <w:sz w:val="20"/>
                <w:szCs w:val="20"/>
              </w:rPr>
              <w:t>réponse</w:t>
            </w:r>
            <w:proofErr w:type="spellEnd"/>
            <w:r w:rsidRPr="0013527D">
              <w:rPr>
                <w:rFonts w:ascii="Arial Narrow" w:hAnsi="Arial Narrow" w:cs="Times New Roman"/>
                <w:sz w:val="20"/>
                <w:szCs w:val="20"/>
              </w:rPr>
              <w:t>)</w:t>
            </w:r>
          </w:p>
        </w:tc>
        <w:tc>
          <w:tcPr>
            <w:tcW w:w="1564" w:type="dxa"/>
            <w:tcBorders>
              <w:top w:val="single" w:sz="8" w:space="0" w:color="1F497D" w:themeColor="text2"/>
            </w:tcBorders>
            <w:vAlign w:val="center"/>
          </w:tcPr>
          <w:p w14:paraId="7D757ED5" w14:textId="77777777" w:rsidR="0013527D" w:rsidRPr="0013527D" w:rsidRDefault="0013527D" w:rsidP="00777483">
            <w:pPr>
              <w:jc w:val="center"/>
              <w:rPr>
                <w:rFonts w:ascii="Arial Narrow" w:hAnsi="Arial Narrow" w:cs="Times New Roman"/>
                <w:sz w:val="20"/>
                <w:szCs w:val="20"/>
              </w:rPr>
            </w:pPr>
          </w:p>
        </w:tc>
        <w:tc>
          <w:tcPr>
            <w:tcW w:w="1813" w:type="dxa"/>
            <w:tcBorders>
              <w:top w:val="single" w:sz="8" w:space="0" w:color="1F497D" w:themeColor="text2"/>
            </w:tcBorders>
            <w:vAlign w:val="center"/>
          </w:tcPr>
          <w:p w14:paraId="1F8FA3B9" w14:textId="77777777" w:rsidR="0013527D" w:rsidRPr="0013527D" w:rsidRDefault="0013527D" w:rsidP="00777483">
            <w:pPr>
              <w:jc w:val="center"/>
              <w:rPr>
                <w:rFonts w:ascii="Arial Narrow" w:hAnsi="Arial Narrow" w:cs="Times New Roman"/>
                <w:sz w:val="20"/>
                <w:szCs w:val="20"/>
              </w:rPr>
            </w:pPr>
          </w:p>
        </w:tc>
      </w:tr>
      <w:tr w:rsidR="0013527D" w:rsidRPr="0013527D" w14:paraId="5F6E1CFE" w14:textId="77777777" w:rsidTr="00777483">
        <w:tc>
          <w:tcPr>
            <w:tcW w:w="5685" w:type="dxa"/>
          </w:tcPr>
          <w:p w14:paraId="6A1035D4" w14:textId="77777777" w:rsidR="0013527D" w:rsidRPr="0013527D" w:rsidRDefault="0013527D" w:rsidP="00777483">
            <w:pPr>
              <w:ind w:left="360"/>
              <w:rPr>
                <w:rFonts w:ascii="Arial Narrow" w:hAnsi="Arial Narrow" w:cs="Times New Roman"/>
                <w:b/>
                <w:bCs/>
                <w:sz w:val="20"/>
                <w:szCs w:val="20"/>
                <w:lang w:val="fr-FR"/>
              </w:rPr>
            </w:pPr>
            <w:r w:rsidRPr="0013527D">
              <w:rPr>
                <w:rFonts w:ascii="Arial Narrow" w:hAnsi="Arial Narrow" w:cs="Times New Roman"/>
                <w:b/>
                <w:bCs/>
                <w:sz w:val="20"/>
                <w:szCs w:val="20"/>
                <w:lang w:val="fr-FR"/>
              </w:rPr>
              <w:t>a) Les mains d’un agent de santé quand elles ne sont pas propres</w:t>
            </w:r>
          </w:p>
        </w:tc>
        <w:tc>
          <w:tcPr>
            <w:tcW w:w="1564" w:type="dxa"/>
            <w:vAlign w:val="center"/>
          </w:tcPr>
          <w:p w14:paraId="0AEDF9C9"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383</w:t>
            </w:r>
          </w:p>
        </w:tc>
        <w:tc>
          <w:tcPr>
            <w:tcW w:w="1813" w:type="dxa"/>
            <w:vAlign w:val="center"/>
          </w:tcPr>
          <w:p w14:paraId="6694397B"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39,8 %</w:t>
            </w:r>
          </w:p>
        </w:tc>
      </w:tr>
      <w:tr w:rsidR="0013527D" w:rsidRPr="0013527D" w14:paraId="2DC28A13" w14:textId="77777777" w:rsidTr="00777483">
        <w:tc>
          <w:tcPr>
            <w:tcW w:w="5685" w:type="dxa"/>
          </w:tcPr>
          <w:p w14:paraId="1E5B1909" w14:textId="77777777" w:rsidR="0013527D" w:rsidRPr="0013527D" w:rsidRDefault="0013527D" w:rsidP="00777483">
            <w:pPr>
              <w:ind w:left="360"/>
              <w:rPr>
                <w:rFonts w:ascii="Arial Narrow" w:hAnsi="Arial Narrow" w:cs="Times New Roman"/>
                <w:sz w:val="20"/>
                <w:szCs w:val="20"/>
                <w:lang w:val="fr-FR"/>
              </w:rPr>
            </w:pPr>
            <w:r w:rsidRPr="0013527D">
              <w:rPr>
                <w:rFonts w:ascii="Arial Narrow" w:hAnsi="Arial Narrow" w:cs="Times New Roman"/>
                <w:sz w:val="20"/>
                <w:szCs w:val="20"/>
                <w:lang w:val="fr-FR"/>
              </w:rPr>
              <w:t>b) L’air ambiant dans l’hôpital</w:t>
            </w:r>
          </w:p>
        </w:tc>
        <w:tc>
          <w:tcPr>
            <w:tcW w:w="1564" w:type="dxa"/>
            <w:vAlign w:val="center"/>
          </w:tcPr>
          <w:p w14:paraId="27DC432A"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64</w:t>
            </w:r>
          </w:p>
        </w:tc>
        <w:tc>
          <w:tcPr>
            <w:tcW w:w="1813" w:type="dxa"/>
            <w:vAlign w:val="center"/>
          </w:tcPr>
          <w:p w14:paraId="48097461"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6,6 %</w:t>
            </w:r>
          </w:p>
        </w:tc>
      </w:tr>
      <w:tr w:rsidR="0013527D" w:rsidRPr="0013527D" w14:paraId="161F48CA" w14:textId="77777777" w:rsidTr="00777483">
        <w:tc>
          <w:tcPr>
            <w:tcW w:w="5685" w:type="dxa"/>
          </w:tcPr>
          <w:p w14:paraId="1B37D6C4" w14:textId="77777777" w:rsidR="0013527D" w:rsidRPr="0013527D" w:rsidRDefault="0013527D" w:rsidP="00777483">
            <w:pPr>
              <w:ind w:left="360"/>
              <w:rPr>
                <w:rFonts w:ascii="Arial Narrow" w:hAnsi="Arial Narrow" w:cs="Times New Roman"/>
                <w:sz w:val="20"/>
                <w:szCs w:val="20"/>
                <w:lang w:val="fr-FR"/>
              </w:rPr>
            </w:pPr>
            <w:r w:rsidRPr="0013527D">
              <w:rPr>
                <w:rFonts w:ascii="Arial Narrow" w:hAnsi="Arial Narrow" w:cs="Times New Roman"/>
                <w:sz w:val="20"/>
                <w:szCs w:val="20"/>
                <w:lang w:val="fr-FR"/>
              </w:rPr>
              <w:t>c) L’exposition des patients à des surfaces souillées (lits, chaises, tables, sols)</w:t>
            </w:r>
          </w:p>
        </w:tc>
        <w:tc>
          <w:tcPr>
            <w:tcW w:w="1564" w:type="dxa"/>
            <w:vAlign w:val="center"/>
          </w:tcPr>
          <w:p w14:paraId="4836EB34"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513</w:t>
            </w:r>
          </w:p>
        </w:tc>
        <w:tc>
          <w:tcPr>
            <w:tcW w:w="1813" w:type="dxa"/>
            <w:vAlign w:val="center"/>
          </w:tcPr>
          <w:p w14:paraId="7DEA0719"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53,3 %</w:t>
            </w:r>
          </w:p>
        </w:tc>
      </w:tr>
      <w:tr w:rsidR="0013527D" w:rsidRPr="0013527D" w14:paraId="0B1ED01F" w14:textId="77777777" w:rsidTr="00777483">
        <w:tc>
          <w:tcPr>
            <w:tcW w:w="5685" w:type="dxa"/>
          </w:tcPr>
          <w:p w14:paraId="493826DA" w14:textId="77777777" w:rsidR="0013527D" w:rsidRPr="0013527D" w:rsidRDefault="0013527D" w:rsidP="00777483">
            <w:pPr>
              <w:ind w:left="360"/>
              <w:rPr>
                <w:rFonts w:ascii="Arial Narrow" w:hAnsi="Arial Narrow" w:cs="Times New Roman"/>
                <w:sz w:val="20"/>
                <w:szCs w:val="20"/>
                <w:lang w:val="fr-FR"/>
              </w:rPr>
            </w:pPr>
            <w:r w:rsidRPr="0013527D">
              <w:rPr>
                <w:rFonts w:ascii="Arial Narrow" w:hAnsi="Arial Narrow" w:cs="Times New Roman"/>
                <w:sz w:val="20"/>
                <w:szCs w:val="20"/>
                <w:lang w:val="fr-FR"/>
              </w:rPr>
              <w:t>d) Le partage d’objets non invasifs entre patients (stéthoscopes, brassards à pression)</w:t>
            </w:r>
          </w:p>
        </w:tc>
        <w:tc>
          <w:tcPr>
            <w:tcW w:w="1564" w:type="dxa"/>
            <w:vAlign w:val="center"/>
          </w:tcPr>
          <w:p w14:paraId="0A375F40"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3</w:t>
            </w:r>
          </w:p>
        </w:tc>
        <w:tc>
          <w:tcPr>
            <w:tcW w:w="1813" w:type="dxa"/>
            <w:vAlign w:val="center"/>
          </w:tcPr>
          <w:p w14:paraId="094DDCDD"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0,3 %</w:t>
            </w:r>
          </w:p>
        </w:tc>
      </w:tr>
      <w:tr w:rsidR="0013527D" w:rsidRPr="0013527D" w14:paraId="4C94CD4D" w14:textId="77777777" w:rsidTr="00777483">
        <w:tc>
          <w:tcPr>
            <w:tcW w:w="5685" w:type="dxa"/>
            <w:vAlign w:val="center"/>
          </w:tcPr>
          <w:p w14:paraId="3822F3D4" w14:textId="77777777" w:rsidR="0013527D" w:rsidRPr="0013527D" w:rsidRDefault="0013527D" w:rsidP="00777483">
            <w:pPr>
              <w:rPr>
                <w:rFonts w:ascii="Arial Narrow" w:hAnsi="Arial Narrow" w:cs="Times New Roman"/>
                <w:sz w:val="20"/>
                <w:szCs w:val="20"/>
              </w:rPr>
            </w:pPr>
            <w:r w:rsidRPr="0013527D">
              <w:rPr>
                <w:rFonts w:ascii="Arial Narrow" w:hAnsi="Arial Narrow" w:cs="Times New Roman"/>
                <w:sz w:val="20"/>
                <w:szCs w:val="20"/>
                <w:lang w:val="fr-FR"/>
              </w:rPr>
              <w:t xml:space="preserve">Quelle est la source la plus fréquente de germes responsables d’infections nosocomiales ou associées aux soins ? </w:t>
            </w:r>
            <w:r w:rsidRPr="0013527D">
              <w:rPr>
                <w:rFonts w:ascii="Arial Narrow" w:hAnsi="Arial Narrow" w:cs="Times New Roman"/>
                <w:sz w:val="20"/>
                <w:szCs w:val="20"/>
              </w:rPr>
              <w:t xml:space="preserve">(Une </w:t>
            </w:r>
            <w:proofErr w:type="spellStart"/>
            <w:r w:rsidRPr="0013527D">
              <w:rPr>
                <w:rFonts w:ascii="Arial Narrow" w:hAnsi="Arial Narrow" w:cs="Times New Roman"/>
                <w:sz w:val="20"/>
                <w:szCs w:val="20"/>
              </w:rPr>
              <w:t>seule</w:t>
            </w:r>
            <w:proofErr w:type="spellEnd"/>
            <w:r w:rsidRPr="0013527D">
              <w:rPr>
                <w:rFonts w:ascii="Arial Narrow" w:hAnsi="Arial Narrow" w:cs="Times New Roman"/>
                <w:sz w:val="20"/>
                <w:szCs w:val="20"/>
              </w:rPr>
              <w:t xml:space="preserve"> </w:t>
            </w:r>
            <w:proofErr w:type="spellStart"/>
            <w:r w:rsidRPr="0013527D">
              <w:rPr>
                <w:rFonts w:ascii="Arial Narrow" w:hAnsi="Arial Narrow" w:cs="Times New Roman"/>
                <w:sz w:val="20"/>
                <w:szCs w:val="20"/>
              </w:rPr>
              <w:t>réponse</w:t>
            </w:r>
            <w:proofErr w:type="spellEnd"/>
            <w:r w:rsidRPr="0013527D">
              <w:rPr>
                <w:rFonts w:ascii="Arial Narrow" w:hAnsi="Arial Narrow" w:cs="Times New Roman"/>
                <w:sz w:val="20"/>
                <w:szCs w:val="20"/>
              </w:rPr>
              <w:t>)</w:t>
            </w:r>
          </w:p>
        </w:tc>
        <w:tc>
          <w:tcPr>
            <w:tcW w:w="1564" w:type="dxa"/>
            <w:vAlign w:val="center"/>
          </w:tcPr>
          <w:p w14:paraId="2FF0D931" w14:textId="77777777" w:rsidR="0013527D" w:rsidRPr="0013527D" w:rsidRDefault="0013527D" w:rsidP="00777483">
            <w:pPr>
              <w:jc w:val="center"/>
              <w:rPr>
                <w:rFonts w:ascii="Arial Narrow" w:hAnsi="Arial Narrow" w:cs="Times New Roman"/>
                <w:sz w:val="20"/>
                <w:szCs w:val="20"/>
              </w:rPr>
            </w:pPr>
          </w:p>
        </w:tc>
        <w:tc>
          <w:tcPr>
            <w:tcW w:w="1813" w:type="dxa"/>
            <w:vAlign w:val="center"/>
          </w:tcPr>
          <w:p w14:paraId="45C90A16" w14:textId="77777777" w:rsidR="0013527D" w:rsidRPr="0013527D" w:rsidRDefault="0013527D" w:rsidP="00777483">
            <w:pPr>
              <w:jc w:val="center"/>
              <w:rPr>
                <w:rFonts w:ascii="Arial Narrow" w:hAnsi="Arial Narrow" w:cs="Times New Roman"/>
                <w:sz w:val="20"/>
                <w:szCs w:val="20"/>
              </w:rPr>
            </w:pPr>
          </w:p>
        </w:tc>
      </w:tr>
      <w:tr w:rsidR="0013527D" w:rsidRPr="0013527D" w14:paraId="432F9088" w14:textId="77777777" w:rsidTr="00777483">
        <w:tc>
          <w:tcPr>
            <w:tcW w:w="5685" w:type="dxa"/>
          </w:tcPr>
          <w:p w14:paraId="0394DE9D" w14:textId="77777777" w:rsidR="0013527D" w:rsidRPr="0013527D" w:rsidRDefault="0013527D" w:rsidP="0013527D">
            <w:pPr>
              <w:pStyle w:val="Paragraphedeliste"/>
              <w:numPr>
                <w:ilvl w:val="0"/>
                <w:numId w:val="14"/>
              </w:numPr>
              <w:rPr>
                <w:rFonts w:ascii="Arial Narrow" w:hAnsi="Arial Narrow" w:cs="Times New Roman"/>
                <w:sz w:val="20"/>
                <w:szCs w:val="20"/>
                <w:lang w:val="fr-FR"/>
              </w:rPr>
            </w:pPr>
            <w:r w:rsidRPr="0013527D">
              <w:rPr>
                <w:rFonts w:ascii="Arial Narrow" w:hAnsi="Arial Narrow" w:cs="Times New Roman"/>
                <w:sz w:val="20"/>
                <w:szCs w:val="20"/>
                <w:lang w:val="fr-FR"/>
              </w:rPr>
              <w:t>Le système d’eau de l’hôpital</w:t>
            </w:r>
          </w:p>
        </w:tc>
        <w:tc>
          <w:tcPr>
            <w:tcW w:w="1564" w:type="dxa"/>
            <w:vAlign w:val="center"/>
          </w:tcPr>
          <w:p w14:paraId="012CE622"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2</w:t>
            </w:r>
          </w:p>
        </w:tc>
        <w:tc>
          <w:tcPr>
            <w:tcW w:w="1813" w:type="dxa"/>
            <w:vAlign w:val="center"/>
          </w:tcPr>
          <w:p w14:paraId="32856990"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0,2 %</w:t>
            </w:r>
          </w:p>
        </w:tc>
      </w:tr>
      <w:tr w:rsidR="0013527D" w:rsidRPr="0013527D" w14:paraId="4827FCB1" w14:textId="77777777" w:rsidTr="00777483">
        <w:tc>
          <w:tcPr>
            <w:tcW w:w="5685" w:type="dxa"/>
          </w:tcPr>
          <w:p w14:paraId="12C880DF" w14:textId="77777777" w:rsidR="0013527D" w:rsidRPr="0013527D" w:rsidRDefault="0013527D" w:rsidP="0013527D">
            <w:pPr>
              <w:pStyle w:val="Paragraphedeliste"/>
              <w:numPr>
                <w:ilvl w:val="0"/>
                <w:numId w:val="14"/>
              </w:numPr>
              <w:rPr>
                <w:rFonts w:ascii="Arial Narrow" w:hAnsi="Arial Narrow" w:cs="Times New Roman"/>
                <w:sz w:val="20"/>
                <w:szCs w:val="20"/>
              </w:rPr>
            </w:pPr>
            <w:proofErr w:type="spellStart"/>
            <w:r w:rsidRPr="0013527D">
              <w:rPr>
                <w:rFonts w:ascii="Arial Narrow" w:hAnsi="Arial Narrow" w:cs="Times New Roman"/>
                <w:sz w:val="20"/>
                <w:szCs w:val="20"/>
              </w:rPr>
              <w:t>L’air</w:t>
            </w:r>
            <w:proofErr w:type="spellEnd"/>
            <w:r w:rsidRPr="0013527D">
              <w:rPr>
                <w:rFonts w:ascii="Arial Narrow" w:hAnsi="Arial Narrow" w:cs="Times New Roman"/>
                <w:sz w:val="20"/>
                <w:szCs w:val="20"/>
              </w:rPr>
              <w:t xml:space="preserve"> </w:t>
            </w:r>
            <w:proofErr w:type="spellStart"/>
            <w:r w:rsidRPr="0013527D">
              <w:rPr>
                <w:rFonts w:ascii="Arial Narrow" w:hAnsi="Arial Narrow" w:cs="Times New Roman"/>
                <w:sz w:val="20"/>
                <w:szCs w:val="20"/>
              </w:rPr>
              <w:t>ambiant</w:t>
            </w:r>
            <w:proofErr w:type="spellEnd"/>
            <w:r w:rsidRPr="0013527D">
              <w:rPr>
                <w:rFonts w:ascii="Arial Narrow" w:hAnsi="Arial Narrow" w:cs="Times New Roman"/>
                <w:sz w:val="20"/>
                <w:szCs w:val="20"/>
              </w:rPr>
              <w:t xml:space="preserve"> dans </w:t>
            </w:r>
            <w:proofErr w:type="spellStart"/>
            <w:r w:rsidRPr="0013527D">
              <w:rPr>
                <w:rFonts w:ascii="Arial Narrow" w:hAnsi="Arial Narrow" w:cs="Times New Roman"/>
                <w:sz w:val="20"/>
                <w:szCs w:val="20"/>
              </w:rPr>
              <w:t>l’hôpital</w:t>
            </w:r>
            <w:proofErr w:type="spellEnd"/>
          </w:p>
        </w:tc>
        <w:tc>
          <w:tcPr>
            <w:tcW w:w="1564" w:type="dxa"/>
            <w:vAlign w:val="center"/>
          </w:tcPr>
          <w:p w14:paraId="3104A382"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52</w:t>
            </w:r>
          </w:p>
        </w:tc>
        <w:tc>
          <w:tcPr>
            <w:tcW w:w="1813" w:type="dxa"/>
            <w:vAlign w:val="center"/>
          </w:tcPr>
          <w:p w14:paraId="1A018A6B"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5,4 %</w:t>
            </w:r>
          </w:p>
        </w:tc>
      </w:tr>
      <w:tr w:rsidR="0013527D" w:rsidRPr="0013527D" w14:paraId="5F6B5CCD" w14:textId="77777777" w:rsidTr="00777483">
        <w:tc>
          <w:tcPr>
            <w:tcW w:w="5685" w:type="dxa"/>
          </w:tcPr>
          <w:p w14:paraId="4115F9A1" w14:textId="77777777" w:rsidR="0013527D" w:rsidRPr="0013527D" w:rsidRDefault="0013527D" w:rsidP="0013527D">
            <w:pPr>
              <w:pStyle w:val="Paragraphedeliste"/>
              <w:numPr>
                <w:ilvl w:val="0"/>
                <w:numId w:val="14"/>
              </w:numPr>
              <w:rPr>
                <w:rFonts w:ascii="Arial Narrow" w:hAnsi="Arial Narrow" w:cs="Times New Roman"/>
                <w:b/>
                <w:bCs/>
                <w:sz w:val="20"/>
                <w:szCs w:val="20"/>
                <w:lang w:val="fr-FR"/>
              </w:rPr>
            </w:pPr>
            <w:r w:rsidRPr="0013527D">
              <w:rPr>
                <w:rFonts w:ascii="Arial Narrow" w:hAnsi="Arial Narrow" w:cs="Times New Roman"/>
                <w:b/>
                <w:bCs/>
                <w:sz w:val="20"/>
                <w:szCs w:val="20"/>
                <w:lang w:val="fr-FR"/>
              </w:rPr>
              <w:t>Les germes déjà présents sur le patient ou dans son organisme</w:t>
            </w:r>
          </w:p>
        </w:tc>
        <w:tc>
          <w:tcPr>
            <w:tcW w:w="1564" w:type="dxa"/>
            <w:vAlign w:val="center"/>
          </w:tcPr>
          <w:p w14:paraId="03165B7A"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105</w:t>
            </w:r>
          </w:p>
        </w:tc>
        <w:tc>
          <w:tcPr>
            <w:tcW w:w="1813" w:type="dxa"/>
            <w:vAlign w:val="center"/>
          </w:tcPr>
          <w:p w14:paraId="0BBFFD76"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10,9 %</w:t>
            </w:r>
          </w:p>
        </w:tc>
      </w:tr>
      <w:tr w:rsidR="0013527D" w:rsidRPr="0013527D" w14:paraId="0C617B09" w14:textId="77777777" w:rsidTr="00777483">
        <w:tc>
          <w:tcPr>
            <w:tcW w:w="5685" w:type="dxa"/>
          </w:tcPr>
          <w:p w14:paraId="34D41981" w14:textId="77777777" w:rsidR="0013527D" w:rsidRPr="0013527D" w:rsidRDefault="0013527D" w:rsidP="0013527D">
            <w:pPr>
              <w:pStyle w:val="Paragraphedeliste"/>
              <w:numPr>
                <w:ilvl w:val="0"/>
                <w:numId w:val="14"/>
              </w:numPr>
              <w:rPr>
                <w:rFonts w:ascii="Arial Narrow" w:hAnsi="Arial Narrow" w:cs="Times New Roman"/>
                <w:sz w:val="20"/>
                <w:szCs w:val="20"/>
                <w:lang w:val="fr-FR"/>
              </w:rPr>
            </w:pPr>
            <w:r w:rsidRPr="0013527D">
              <w:rPr>
                <w:rFonts w:ascii="Arial Narrow" w:hAnsi="Arial Narrow" w:cs="Times New Roman"/>
                <w:sz w:val="20"/>
                <w:szCs w:val="20"/>
                <w:lang w:val="fr-FR"/>
              </w:rPr>
              <w:t>Les surfaces (lits, tables, chariot)</w:t>
            </w:r>
          </w:p>
        </w:tc>
        <w:tc>
          <w:tcPr>
            <w:tcW w:w="1564" w:type="dxa"/>
            <w:vAlign w:val="center"/>
          </w:tcPr>
          <w:p w14:paraId="47E329C7"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804</w:t>
            </w:r>
          </w:p>
        </w:tc>
        <w:tc>
          <w:tcPr>
            <w:tcW w:w="1813" w:type="dxa"/>
            <w:vAlign w:val="center"/>
          </w:tcPr>
          <w:p w14:paraId="70C68ECE"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83,5 %</w:t>
            </w:r>
          </w:p>
        </w:tc>
      </w:tr>
      <w:tr w:rsidR="0013527D" w:rsidRPr="00514CA4" w14:paraId="1DCB7FA9" w14:textId="77777777" w:rsidTr="00777483">
        <w:tc>
          <w:tcPr>
            <w:tcW w:w="5685" w:type="dxa"/>
          </w:tcPr>
          <w:p w14:paraId="12B9C809" w14:textId="77777777" w:rsidR="0013527D" w:rsidRPr="0013527D" w:rsidRDefault="0013527D" w:rsidP="00777483">
            <w:pPr>
              <w:rPr>
                <w:rFonts w:ascii="Arial Narrow" w:hAnsi="Arial Narrow" w:cs="Times New Roman"/>
                <w:sz w:val="20"/>
                <w:szCs w:val="20"/>
                <w:lang w:val="fr-FR"/>
              </w:rPr>
            </w:pPr>
            <w:r w:rsidRPr="0013527D">
              <w:rPr>
                <w:rFonts w:ascii="Arial Narrow" w:hAnsi="Arial Narrow" w:cs="Times New Roman"/>
                <w:sz w:val="20"/>
                <w:szCs w:val="20"/>
                <w:lang w:val="fr-FR"/>
              </w:rPr>
              <w:t>Laquelle/lesquelles des mesures d’hygiène des mains suivantes prévient(préviennent) la transmission des germes au patient ?</w:t>
            </w:r>
          </w:p>
        </w:tc>
        <w:tc>
          <w:tcPr>
            <w:tcW w:w="1564" w:type="dxa"/>
            <w:vAlign w:val="center"/>
          </w:tcPr>
          <w:p w14:paraId="7C3BCAD9" w14:textId="77777777" w:rsidR="0013527D" w:rsidRPr="0013527D" w:rsidRDefault="0013527D" w:rsidP="00777483">
            <w:pPr>
              <w:jc w:val="center"/>
              <w:rPr>
                <w:rFonts w:ascii="Arial Narrow" w:hAnsi="Arial Narrow" w:cs="Times New Roman"/>
                <w:sz w:val="20"/>
                <w:szCs w:val="20"/>
                <w:lang w:val="fr-FR"/>
              </w:rPr>
            </w:pPr>
          </w:p>
        </w:tc>
        <w:tc>
          <w:tcPr>
            <w:tcW w:w="1813" w:type="dxa"/>
            <w:vAlign w:val="center"/>
          </w:tcPr>
          <w:p w14:paraId="1CE1CEE9" w14:textId="77777777" w:rsidR="0013527D" w:rsidRPr="0013527D" w:rsidRDefault="0013527D" w:rsidP="00777483">
            <w:pPr>
              <w:jc w:val="center"/>
              <w:rPr>
                <w:rFonts w:ascii="Arial Narrow" w:hAnsi="Arial Narrow" w:cs="Times New Roman"/>
                <w:sz w:val="20"/>
                <w:szCs w:val="20"/>
                <w:lang w:val="fr-FR"/>
              </w:rPr>
            </w:pPr>
          </w:p>
        </w:tc>
      </w:tr>
      <w:tr w:rsidR="0013527D" w:rsidRPr="0013527D" w14:paraId="474823D5" w14:textId="77777777" w:rsidTr="00777483">
        <w:tc>
          <w:tcPr>
            <w:tcW w:w="5685" w:type="dxa"/>
          </w:tcPr>
          <w:p w14:paraId="22ED4705" w14:textId="77777777" w:rsidR="0013527D" w:rsidRPr="0013527D" w:rsidRDefault="0013527D" w:rsidP="0013527D">
            <w:pPr>
              <w:pStyle w:val="Paragraphedeliste"/>
              <w:numPr>
                <w:ilvl w:val="0"/>
                <w:numId w:val="15"/>
              </w:numPr>
              <w:rPr>
                <w:rFonts w:ascii="Arial Narrow" w:hAnsi="Arial Narrow" w:cs="Times New Roman"/>
                <w:b/>
                <w:bCs/>
                <w:sz w:val="20"/>
                <w:szCs w:val="20"/>
                <w:lang w:val="fr-FR"/>
              </w:rPr>
            </w:pPr>
            <w:r w:rsidRPr="0013527D">
              <w:rPr>
                <w:rFonts w:ascii="Arial Narrow" w:hAnsi="Arial Narrow" w:cs="Times New Roman"/>
                <w:b/>
                <w:bCs/>
                <w:sz w:val="20"/>
                <w:szCs w:val="20"/>
                <w:lang w:val="fr-FR"/>
              </w:rPr>
              <w:t>Avant de toucher un patient</w:t>
            </w:r>
          </w:p>
        </w:tc>
        <w:tc>
          <w:tcPr>
            <w:tcW w:w="1564" w:type="dxa"/>
            <w:vAlign w:val="center"/>
          </w:tcPr>
          <w:p w14:paraId="03CA4F61"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942</w:t>
            </w:r>
          </w:p>
        </w:tc>
        <w:tc>
          <w:tcPr>
            <w:tcW w:w="1813" w:type="dxa"/>
            <w:vAlign w:val="center"/>
          </w:tcPr>
          <w:p w14:paraId="0353F770"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97,8 %</w:t>
            </w:r>
          </w:p>
        </w:tc>
      </w:tr>
      <w:tr w:rsidR="0013527D" w:rsidRPr="0013527D" w14:paraId="5B132D4B" w14:textId="77777777" w:rsidTr="00777483">
        <w:tc>
          <w:tcPr>
            <w:tcW w:w="5685" w:type="dxa"/>
          </w:tcPr>
          <w:p w14:paraId="3593794D" w14:textId="77777777" w:rsidR="0013527D" w:rsidRPr="0013527D" w:rsidRDefault="0013527D" w:rsidP="0013527D">
            <w:pPr>
              <w:pStyle w:val="Paragraphedeliste"/>
              <w:numPr>
                <w:ilvl w:val="0"/>
                <w:numId w:val="15"/>
              </w:numPr>
              <w:rPr>
                <w:rFonts w:ascii="Arial Narrow" w:hAnsi="Arial Narrow" w:cs="Times New Roman"/>
                <w:b/>
                <w:bCs/>
                <w:sz w:val="20"/>
                <w:szCs w:val="20"/>
                <w:lang w:val="fr-FR"/>
              </w:rPr>
            </w:pPr>
            <w:r w:rsidRPr="0013527D">
              <w:rPr>
                <w:rFonts w:ascii="Arial Narrow" w:hAnsi="Arial Narrow" w:cs="Times New Roman"/>
                <w:b/>
                <w:bCs/>
                <w:sz w:val="20"/>
                <w:szCs w:val="20"/>
                <w:lang w:val="fr-FR"/>
              </w:rPr>
              <w:t>Immédiatement après un risque d’exposition à des liquides biologiques</w:t>
            </w:r>
          </w:p>
        </w:tc>
        <w:tc>
          <w:tcPr>
            <w:tcW w:w="1564" w:type="dxa"/>
            <w:vAlign w:val="center"/>
          </w:tcPr>
          <w:p w14:paraId="75A13E0F"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272</w:t>
            </w:r>
          </w:p>
        </w:tc>
        <w:tc>
          <w:tcPr>
            <w:tcW w:w="1813" w:type="dxa"/>
            <w:vAlign w:val="center"/>
          </w:tcPr>
          <w:p w14:paraId="45D6C367"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28,2 %</w:t>
            </w:r>
          </w:p>
        </w:tc>
      </w:tr>
      <w:tr w:rsidR="0013527D" w:rsidRPr="0013527D" w14:paraId="077E94CA" w14:textId="77777777" w:rsidTr="00777483">
        <w:tc>
          <w:tcPr>
            <w:tcW w:w="5685" w:type="dxa"/>
          </w:tcPr>
          <w:p w14:paraId="09BD7F26" w14:textId="77777777" w:rsidR="0013527D" w:rsidRPr="0013527D" w:rsidRDefault="0013527D" w:rsidP="0013527D">
            <w:pPr>
              <w:pStyle w:val="Paragraphedeliste"/>
              <w:numPr>
                <w:ilvl w:val="0"/>
                <w:numId w:val="15"/>
              </w:numPr>
              <w:rPr>
                <w:rFonts w:ascii="Arial Narrow" w:hAnsi="Arial Narrow" w:cs="Times New Roman"/>
                <w:sz w:val="20"/>
                <w:szCs w:val="20"/>
                <w:lang w:val="fr-FR"/>
              </w:rPr>
            </w:pPr>
            <w:r w:rsidRPr="0013527D">
              <w:rPr>
                <w:rFonts w:ascii="Arial Narrow" w:hAnsi="Arial Narrow" w:cs="Times New Roman"/>
                <w:sz w:val="20"/>
                <w:szCs w:val="20"/>
                <w:lang w:val="fr-FR"/>
              </w:rPr>
              <w:t>Après exposition à l’environnement immédiat d’un patient</w:t>
            </w:r>
          </w:p>
        </w:tc>
        <w:tc>
          <w:tcPr>
            <w:tcW w:w="1564" w:type="dxa"/>
            <w:vAlign w:val="center"/>
          </w:tcPr>
          <w:p w14:paraId="45C393AB"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106</w:t>
            </w:r>
          </w:p>
        </w:tc>
        <w:tc>
          <w:tcPr>
            <w:tcW w:w="1813" w:type="dxa"/>
            <w:vAlign w:val="center"/>
          </w:tcPr>
          <w:p w14:paraId="7B04F02B"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11 %</w:t>
            </w:r>
          </w:p>
        </w:tc>
      </w:tr>
      <w:tr w:rsidR="0013527D" w:rsidRPr="0013527D" w14:paraId="1FAC3EF6" w14:textId="77777777" w:rsidTr="00777483">
        <w:tc>
          <w:tcPr>
            <w:tcW w:w="5685" w:type="dxa"/>
          </w:tcPr>
          <w:p w14:paraId="1E1EC3E7" w14:textId="77777777" w:rsidR="0013527D" w:rsidRPr="0013527D" w:rsidRDefault="0013527D" w:rsidP="0013527D">
            <w:pPr>
              <w:pStyle w:val="Paragraphedeliste"/>
              <w:numPr>
                <w:ilvl w:val="0"/>
                <w:numId w:val="15"/>
              </w:numPr>
              <w:rPr>
                <w:rFonts w:ascii="Arial Narrow" w:hAnsi="Arial Narrow" w:cs="Times New Roman"/>
                <w:b/>
                <w:bCs/>
                <w:sz w:val="20"/>
                <w:szCs w:val="20"/>
                <w:lang w:val="fr-FR"/>
              </w:rPr>
            </w:pPr>
            <w:r w:rsidRPr="0013527D">
              <w:rPr>
                <w:rFonts w:ascii="Arial Narrow" w:hAnsi="Arial Narrow" w:cs="Times New Roman"/>
                <w:b/>
                <w:bCs/>
                <w:sz w:val="20"/>
                <w:szCs w:val="20"/>
                <w:lang w:val="fr-FR"/>
              </w:rPr>
              <w:t>Immédiatement avant un soin propre ou aseptique</w:t>
            </w:r>
          </w:p>
        </w:tc>
        <w:tc>
          <w:tcPr>
            <w:tcW w:w="1564" w:type="dxa"/>
            <w:vAlign w:val="center"/>
          </w:tcPr>
          <w:p w14:paraId="1D4E4971"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890</w:t>
            </w:r>
          </w:p>
        </w:tc>
        <w:tc>
          <w:tcPr>
            <w:tcW w:w="1813" w:type="dxa"/>
            <w:vAlign w:val="center"/>
          </w:tcPr>
          <w:p w14:paraId="5F642354"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92, 4 %</w:t>
            </w:r>
          </w:p>
        </w:tc>
      </w:tr>
      <w:tr w:rsidR="0013527D" w:rsidRPr="00514CA4" w14:paraId="087F0E3A" w14:textId="77777777" w:rsidTr="00777483">
        <w:tc>
          <w:tcPr>
            <w:tcW w:w="5685" w:type="dxa"/>
          </w:tcPr>
          <w:p w14:paraId="2DF816FF" w14:textId="77777777" w:rsidR="0013527D" w:rsidRPr="0013527D" w:rsidRDefault="0013527D" w:rsidP="00777483">
            <w:pPr>
              <w:rPr>
                <w:rFonts w:ascii="Arial Narrow" w:hAnsi="Arial Narrow" w:cs="Times New Roman"/>
                <w:sz w:val="20"/>
                <w:szCs w:val="20"/>
                <w:lang w:val="fr-FR"/>
              </w:rPr>
            </w:pPr>
            <w:r w:rsidRPr="0013527D">
              <w:rPr>
                <w:rFonts w:ascii="Arial Narrow" w:hAnsi="Arial Narrow" w:cs="Times New Roman"/>
                <w:sz w:val="20"/>
                <w:szCs w:val="20"/>
                <w:lang w:val="fr-FR"/>
              </w:rPr>
              <w:t>Laquelle/lesquelles des mesures d’hygiène des mains suivantes prévient (préviennent) la transmission des germes à l’agent de santé ?</w:t>
            </w:r>
          </w:p>
        </w:tc>
        <w:tc>
          <w:tcPr>
            <w:tcW w:w="1564" w:type="dxa"/>
            <w:vAlign w:val="center"/>
          </w:tcPr>
          <w:p w14:paraId="2196EDE2" w14:textId="77777777" w:rsidR="0013527D" w:rsidRPr="0013527D" w:rsidRDefault="0013527D" w:rsidP="00777483">
            <w:pPr>
              <w:jc w:val="center"/>
              <w:rPr>
                <w:rFonts w:ascii="Arial Narrow" w:hAnsi="Arial Narrow" w:cs="Times New Roman"/>
                <w:sz w:val="20"/>
                <w:szCs w:val="20"/>
                <w:lang w:val="fr-FR"/>
              </w:rPr>
            </w:pPr>
          </w:p>
        </w:tc>
        <w:tc>
          <w:tcPr>
            <w:tcW w:w="1813" w:type="dxa"/>
            <w:vAlign w:val="center"/>
          </w:tcPr>
          <w:p w14:paraId="3630C840" w14:textId="77777777" w:rsidR="0013527D" w:rsidRPr="0013527D" w:rsidRDefault="0013527D" w:rsidP="00777483">
            <w:pPr>
              <w:jc w:val="center"/>
              <w:rPr>
                <w:rFonts w:ascii="Arial Narrow" w:hAnsi="Arial Narrow" w:cs="Times New Roman"/>
                <w:sz w:val="20"/>
                <w:szCs w:val="20"/>
                <w:lang w:val="fr-FR"/>
              </w:rPr>
            </w:pPr>
          </w:p>
        </w:tc>
      </w:tr>
      <w:tr w:rsidR="0013527D" w:rsidRPr="0013527D" w14:paraId="48760EF8" w14:textId="77777777" w:rsidTr="00777483">
        <w:tc>
          <w:tcPr>
            <w:tcW w:w="5685" w:type="dxa"/>
          </w:tcPr>
          <w:p w14:paraId="0D518BC8" w14:textId="77777777" w:rsidR="0013527D" w:rsidRPr="0013527D" w:rsidRDefault="0013527D" w:rsidP="0013527D">
            <w:pPr>
              <w:pStyle w:val="Paragraphedeliste"/>
              <w:numPr>
                <w:ilvl w:val="0"/>
                <w:numId w:val="16"/>
              </w:numPr>
              <w:rPr>
                <w:rFonts w:ascii="Arial Narrow" w:hAnsi="Arial Narrow" w:cs="Times New Roman"/>
                <w:b/>
                <w:bCs/>
                <w:sz w:val="20"/>
                <w:szCs w:val="20"/>
                <w:lang w:val="fr-FR"/>
              </w:rPr>
            </w:pPr>
            <w:r w:rsidRPr="0013527D">
              <w:rPr>
                <w:rFonts w:ascii="Arial Narrow" w:hAnsi="Arial Narrow" w:cs="Times New Roman"/>
                <w:b/>
                <w:bCs/>
                <w:sz w:val="20"/>
                <w:szCs w:val="20"/>
                <w:lang w:val="fr-FR"/>
              </w:rPr>
              <w:t>Après avoir touché un patient</w:t>
            </w:r>
          </w:p>
        </w:tc>
        <w:tc>
          <w:tcPr>
            <w:tcW w:w="1564" w:type="dxa"/>
            <w:vAlign w:val="center"/>
          </w:tcPr>
          <w:p w14:paraId="0C6C40CA"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917</w:t>
            </w:r>
          </w:p>
        </w:tc>
        <w:tc>
          <w:tcPr>
            <w:tcW w:w="1813" w:type="dxa"/>
            <w:vAlign w:val="center"/>
          </w:tcPr>
          <w:p w14:paraId="2FFE43A6"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95,2 %</w:t>
            </w:r>
          </w:p>
        </w:tc>
      </w:tr>
      <w:tr w:rsidR="0013527D" w:rsidRPr="0013527D" w14:paraId="3885CB48" w14:textId="77777777" w:rsidTr="00777483">
        <w:tc>
          <w:tcPr>
            <w:tcW w:w="5685" w:type="dxa"/>
          </w:tcPr>
          <w:p w14:paraId="74292DDC" w14:textId="77777777" w:rsidR="0013527D" w:rsidRPr="0013527D" w:rsidRDefault="0013527D" w:rsidP="0013527D">
            <w:pPr>
              <w:pStyle w:val="Paragraphedeliste"/>
              <w:numPr>
                <w:ilvl w:val="0"/>
                <w:numId w:val="16"/>
              </w:numPr>
              <w:rPr>
                <w:rFonts w:ascii="Arial Narrow" w:hAnsi="Arial Narrow" w:cs="Times New Roman"/>
                <w:b/>
                <w:bCs/>
                <w:sz w:val="20"/>
                <w:szCs w:val="20"/>
                <w:lang w:val="fr-FR"/>
              </w:rPr>
            </w:pPr>
            <w:r w:rsidRPr="0013527D">
              <w:rPr>
                <w:rFonts w:ascii="Arial Narrow" w:hAnsi="Arial Narrow" w:cs="Times New Roman"/>
                <w:b/>
                <w:bCs/>
                <w:sz w:val="20"/>
                <w:szCs w:val="20"/>
                <w:lang w:val="fr-FR"/>
              </w:rPr>
              <w:t>Immédiatement après un risque d’exposition à des liquides biologiques</w:t>
            </w:r>
          </w:p>
        </w:tc>
        <w:tc>
          <w:tcPr>
            <w:tcW w:w="1564" w:type="dxa"/>
            <w:vAlign w:val="center"/>
          </w:tcPr>
          <w:p w14:paraId="6AD15518"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858</w:t>
            </w:r>
          </w:p>
        </w:tc>
        <w:tc>
          <w:tcPr>
            <w:tcW w:w="1813" w:type="dxa"/>
            <w:vAlign w:val="center"/>
          </w:tcPr>
          <w:p w14:paraId="7BBA6370"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89,1 %</w:t>
            </w:r>
          </w:p>
        </w:tc>
      </w:tr>
      <w:tr w:rsidR="0013527D" w:rsidRPr="0013527D" w14:paraId="570CA3DE" w14:textId="77777777" w:rsidTr="00777483">
        <w:tc>
          <w:tcPr>
            <w:tcW w:w="5685" w:type="dxa"/>
          </w:tcPr>
          <w:p w14:paraId="7FD44BEA" w14:textId="77777777" w:rsidR="0013527D" w:rsidRPr="0013527D" w:rsidRDefault="0013527D" w:rsidP="0013527D">
            <w:pPr>
              <w:pStyle w:val="Paragraphedeliste"/>
              <w:numPr>
                <w:ilvl w:val="0"/>
                <w:numId w:val="16"/>
              </w:numPr>
              <w:rPr>
                <w:rFonts w:ascii="Arial Narrow" w:hAnsi="Arial Narrow" w:cs="Times New Roman"/>
                <w:sz w:val="20"/>
                <w:szCs w:val="20"/>
                <w:lang w:val="fr-FR"/>
              </w:rPr>
            </w:pPr>
            <w:r w:rsidRPr="0013527D">
              <w:rPr>
                <w:rFonts w:ascii="Arial Narrow" w:hAnsi="Arial Narrow" w:cs="Times New Roman"/>
                <w:sz w:val="20"/>
                <w:szCs w:val="20"/>
                <w:lang w:val="fr-FR"/>
              </w:rPr>
              <w:t>Immédiatement avant un soin propre ou aseptique</w:t>
            </w:r>
          </w:p>
        </w:tc>
        <w:tc>
          <w:tcPr>
            <w:tcW w:w="1564" w:type="dxa"/>
            <w:vAlign w:val="center"/>
          </w:tcPr>
          <w:p w14:paraId="0E714A25"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552</w:t>
            </w:r>
          </w:p>
        </w:tc>
        <w:tc>
          <w:tcPr>
            <w:tcW w:w="1813" w:type="dxa"/>
            <w:vAlign w:val="center"/>
          </w:tcPr>
          <w:p w14:paraId="2B3623EA"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54,2 %</w:t>
            </w:r>
          </w:p>
        </w:tc>
      </w:tr>
      <w:tr w:rsidR="0013527D" w:rsidRPr="0013527D" w14:paraId="795976D1" w14:textId="77777777" w:rsidTr="00777483">
        <w:tc>
          <w:tcPr>
            <w:tcW w:w="5685" w:type="dxa"/>
          </w:tcPr>
          <w:p w14:paraId="1AF77004" w14:textId="77777777" w:rsidR="0013527D" w:rsidRPr="0013527D" w:rsidRDefault="0013527D" w:rsidP="0013527D">
            <w:pPr>
              <w:pStyle w:val="Paragraphedeliste"/>
              <w:numPr>
                <w:ilvl w:val="0"/>
                <w:numId w:val="16"/>
              </w:numPr>
              <w:rPr>
                <w:rFonts w:ascii="Arial Narrow" w:hAnsi="Arial Narrow" w:cs="Times New Roman"/>
                <w:b/>
                <w:bCs/>
                <w:sz w:val="20"/>
                <w:szCs w:val="20"/>
                <w:lang w:val="fr-FR"/>
              </w:rPr>
            </w:pPr>
            <w:r w:rsidRPr="0013527D">
              <w:rPr>
                <w:rFonts w:ascii="Arial Narrow" w:hAnsi="Arial Narrow" w:cs="Times New Roman"/>
                <w:b/>
                <w:bCs/>
                <w:sz w:val="20"/>
                <w:szCs w:val="20"/>
                <w:lang w:val="fr-FR"/>
              </w:rPr>
              <w:t>Après exposition à l’environnement immédiat d’un patient</w:t>
            </w:r>
          </w:p>
        </w:tc>
        <w:tc>
          <w:tcPr>
            <w:tcW w:w="1564" w:type="dxa"/>
            <w:vAlign w:val="center"/>
          </w:tcPr>
          <w:p w14:paraId="2191004E"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869</w:t>
            </w:r>
          </w:p>
        </w:tc>
        <w:tc>
          <w:tcPr>
            <w:tcW w:w="1813" w:type="dxa"/>
            <w:vAlign w:val="center"/>
          </w:tcPr>
          <w:p w14:paraId="52C56250"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90,2 %</w:t>
            </w:r>
          </w:p>
        </w:tc>
      </w:tr>
      <w:tr w:rsidR="0013527D" w:rsidRPr="0013527D" w14:paraId="61122C46" w14:textId="77777777" w:rsidTr="00777483">
        <w:tc>
          <w:tcPr>
            <w:tcW w:w="5685" w:type="dxa"/>
          </w:tcPr>
          <w:p w14:paraId="7830355F" w14:textId="77777777" w:rsidR="0013527D" w:rsidRPr="0013527D" w:rsidRDefault="0013527D" w:rsidP="00777483">
            <w:pPr>
              <w:rPr>
                <w:rFonts w:ascii="Arial Narrow" w:hAnsi="Arial Narrow" w:cs="Times New Roman"/>
                <w:sz w:val="20"/>
                <w:szCs w:val="20"/>
              </w:rPr>
            </w:pPr>
            <w:r w:rsidRPr="0013527D">
              <w:rPr>
                <w:rFonts w:ascii="Arial Narrow" w:hAnsi="Arial Narrow" w:cs="Times New Roman"/>
                <w:sz w:val="20"/>
                <w:szCs w:val="20"/>
                <w:lang w:val="fr-FR"/>
              </w:rPr>
              <w:t xml:space="preserve">Quel est le temps minimal nécessaire pour qu’une solution hydroalcoolique tue la plupart des germes présents sur vos mains ? </w:t>
            </w:r>
            <w:r w:rsidRPr="0013527D">
              <w:rPr>
                <w:rFonts w:ascii="Arial Narrow" w:hAnsi="Arial Narrow" w:cs="Times New Roman"/>
                <w:sz w:val="20"/>
                <w:szCs w:val="20"/>
              </w:rPr>
              <w:t xml:space="preserve">(Une </w:t>
            </w:r>
            <w:proofErr w:type="spellStart"/>
            <w:r w:rsidRPr="0013527D">
              <w:rPr>
                <w:rFonts w:ascii="Arial Narrow" w:hAnsi="Arial Narrow" w:cs="Times New Roman"/>
                <w:sz w:val="20"/>
                <w:szCs w:val="20"/>
              </w:rPr>
              <w:t>seule</w:t>
            </w:r>
            <w:proofErr w:type="spellEnd"/>
            <w:r w:rsidRPr="0013527D">
              <w:rPr>
                <w:rFonts w:ascii="Arial Narrow" w:hAnsi="Arial Narrow" w:cs="Times New Roman"/>
                <w:sz w:val="20"/>
                <w:szCs w:val="20"/>
              </w:rPr>
              <w:t xml:space="preserve"> </w:t>
            </w:r>
            <w:proofErr w:type="spellStart"/>
            <w:r w:rsidRPr="0013527D">
              <w:rPr>
                <w:rFonts w:ascii="Arial Narrow" w:hAnsi="Arial Narrow" w:cs="Times New Roman"/>
                <w:sz w:val="20"/>
                <w:szCs w:val="20"/>
              </w:rPr>
              <w:t>réponse</w:t>
            </w:r>
            <w:proofErr w:type="spellEnd"/>
            <w:r w:rsidRPr="0013527D">
              <w:rPr>
                <w:rFonts w:ascii="Arial Narrow" w:hAnsi="Arial Narrow" w:cs="Times New Roman"/>
                <w:sz w:val="20"/>
                <w:szCs w:val="20"/>
              </w:rPr>
              <w:t>)</w:t>
            </w:r>
          </w:p>
        </w:tc>
        <w:tc>
          <w:tcPr>
            <w:tcW w:w="1564" w:type="dxa"/>
            <w:vAlign w:val="center"/>
          </w:tcPr>
          <w:p w14:paraId="6C7C6AAE" w14:textId="77777777" w:rsidR="0013527D" w:rsidRPr="0013527D" w:rsidRDefault="0013527D" w:rsidP="00777483">
            <w:pPr>
              <w:jc w:val="center"/>
              <w:rPr>
                <w:rFonts w:ascii="Arial Narrow" w:hAnsi="Arial Narrow" w:cs="Times New Roman"/>
                <w:sz w:val="20"/>
                <w:szCs w:val="20"/>
              </w:rPr>
            </w:pPr>
          </w:p>
        </w:tc>
        <w:tc>
          <w:tcPr>
            <w:tcW w:w="1813" w:type="dxa"/>
            <w:vAlign w:val="center"/>
          </w:tcPr>
          <w:p w14:paraId="7C158813" w14:textId="77777777" w:rsidR="0013527D" w:rsidRPr="0013527D" w:rsidRDefault="0013527D" w:rsidP="00777483">
            <w:pPr>
              <w:jc w:val="center"/>
              <w:rPr>
                <w:rFonts w:ascii="Arial Narrow" w:hAnsi="Arial Narrow" w:cs="Times New Roman"/>
                <w:sz w:val="20"/>
                <w:szCs w:val="20"/>
              </w:rPr>
            </w:pPr>
          </w:p>
        </w:tc>
      </w:tr>
      <w:tr w:rsidR="0013527D" w:rsidRPr="0013527D" w14:paraId="41EFC25D" w14:textId="77777777" w:rsidTr="00777483">
        <w:tc>
          <w:tcPr>
            <w:tcW w:w="5685" w:type="dxa"/>
          </w:tcPr>
          <w:p w14:paraId="11395E83" w14:textId="77777777" w:rsidR="0013527D" w:rsidRPr="0013527D" w:rsidRDefault="0013527D" w:rsidP="0013527D">
            <w:pPr>
              <w:pStyle w:val="Paragraphedeliste"/>
              <w:numPr>
                <w:ilvl w:val="0"/>
                <w:numId w:val="17"/>
              </w:numPr>
              <w:rPr>
                <w:rFonts w:ascii="Arial Narrow" w:hAnsi="Arial Narrow" w:cs="Times New Roman"/>
                <w:b/>
                <w:bCs/>
                <w:sz w:val="20"/>
                <w:szCs w:val="20"/>
              </w:rPr>
            </w:pPr>
            <w:r w:rsidRPr="0013527D">
              <w:rPr>
                <w:rFonts w:ascii="Arial Narrow" w:hAnsi="Arial Narrow" w:cs="Times New Roman"/>
                <w:b/>
                <w:bCs/>
                <w:sz w:val="20"/>
                <w:szCs w:val="20"/>
              </w:rPr>
              <w:t xml:space="preserve">20 </w:t>
            </w:r>
            <w:proofErr w:type="spellStart"/>
            <w:r w:rsidRPr="0013527D">
              <w:rPr>
                <w:rFonts w:ascii="Arial Narrow" w:hAnsi="Arial Narrow" w:cs="Times New Roman"/>
                <w:b/>
                <w:bCs/>
                <w:sz w:val="20"/>
                <w:szCs w:val="20"/>
              </w:rPr>
              <w:t>secondes</w:t>
            </w:r>
            <w:proofErr w:type="spellEnd"/>
          </w:p>
        </w:tc>
        <w:tc>
          <w:tcPr>
            <w:tcW w:w="1564" w:type="dxa"/>
            <w:vAlign w:val="center"/>
          </w:tcPr>
          <w:p w14:paraId="60EB7C56"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165</w:t>
            </w:r>
          </w:p>
        </w:tc>
        <w:tc>
          <w:tcPr>
            <w:tcW w:w="1813" w:type="dxa"/>
            <w:vAlign w:val="center"/>
          </w:tcPr>
          <w:p w14:paraId="450DEAA6"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17,1 %</w:t>
            </w:r>
          </w:p>
        </w:tc>
      </w:tr>
      <w:tr w:rsidR="0013527D" w:rsidRPr="0013527D" w14:paraId="1F059F9C" w14:textId="77777777" w:rsidTr="00777483">
        <w:tc>
          <w:tcPr>
            <w:tcW w:w="5685" w:type="dxa"/>
          </w:tcPr>
          <w:p w14:paraId="26003E62" w14:textId="77777777" w:rsidR="0013527D" w:rsidRPr="0013527D" w:rsidRDefault="0013527D" w:rsidP="0013527D">
            <w:pPr>
              <w:pStyle w:val="Paragraphedeliste"/>
              <w:numPr>
                <w:ilvl w:val="0"/>
                <w:numId w:val="17"/>
              </w:numPr>
              <w:rPr>
                <w:rFonts w:ascii="Arial Narrow" w:hAnsi="Arial Narrow" w:cs="Times New Roman"/>
                <w:sz w:val="20"/>
                <w:szCs w:val="20"/>
              </w:rPr>
            </w:pPr>
            <w:r w:rsidRPr="0013527D">
              <w:rPr>
                <w:rFonts w:ascii="Arial Narrow" w:hAnsi="Arial Narrow" w:cs="Times New Roman"/>
                <w:sz w:val="20"/>
                <w:szCs w:val="20"/>
              </w:rPr>
              <w:t>3 minutes</w:t>
            </w:r>
          </w:p>
        </w:tc>
        <w:tc>
          <w:tcPr>
            <w:tcW w:w="1564" w:type="dxa"/>
            <w:vAlign w:val="center"/>
          </w:tcPr>
          <w:p w14:paraId="7265EBD9"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27</w:t>
            </w:r>
          </w:p>
        </w:tc>
        <w:tc>
          <w:tcPr>
            <w:tcW w:w="1813" w:type="dxa"/>
            <w:vAlign w:val="center"/>
          </w:tcPr>
          <w:p w14:paraId="4B15D127"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2,8 %</w:t>
            </w:r>
          </w:p>
        </w:tc>
      </w:tr>
      <w:tr w:rsidR="0013527D" w:rsidRPr="0013527D" w14:paraId="7D2BA847" w14:textId="77777777" w:rsidTr="00777483">
        <w:tc>
          <w:tcPr>
            <w:tcW w:w="5685" w:type="dxa"/>
          </w:tcPr>
          <w:p w14:paraId="35C8E05D" w14:textId="77777777" w:rsidR="0013527D" w:rsidRPr="0013527D" w:rsidRDefault="0013527D" w:rsidP="0013527D">
            <w:pPr>
              <w:pStyle w:val="Paragraphedeliste"/>
              <w:numPr>
                <w:ilvl w:val="0"/>
                <w:numId w:val="17"/>
              </w:numPr>
              <w:rPr>
                <w:rFonts w:ascii="Arial Narrow" w:hAnsi="Arial Narrow" w:cs="Times New Roman"/>
                <w:sz w:val="20"/>
                <w:szCs w:val="20"/>
              </w:rPr>
            </w:pPr>
            <w:r w:rsidRPr="0013527D">
              <w:rPr>
                <w:rFonts w:ascii="Arial Narrow" w:hAnsi="Arial Narrow" w:cs="Times New Roman"/>
                <w:sz w:val="20"/>
                <w:szCs w:val="20"/>
              </w:rPr>
              <w:t>1 minute</w:t>
            </w:r>
          </w:p>
        </w:tc>
        <w:tc>
          <w:tcPr>
            <w:tcW w:w="1564" w:type="dxa"/>
            <w:vAlign w:val="center"/>
          </w:tcPr>
          <w:p w14:paraId="76542E91"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399</w:t>
            </w:r>
          </w:p>
        </w:tc>
        <w:tc>
          <w:tcPr>
            <w:tcW w:w="1813" w:type="dxa"/>
            <w:vAlign w:val="center"/>
          </w:tcPr>
          <w:p w14:paraId="168B6844"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41,1 %</w:t>
            </w:r>
          </w:p>
        </w:tc>
      </w:tr>
      <w:tr w:rsidR="0013527D" w:rsidRPr="0013527D" w14:paraId="53E376D8" w14:textId="77777777" w:rsidTr="00777483">
        <w:tc>
          <w:tcPr>
            <w:tcW w:w="5685" w:type="dxa"/>
          </w:tcPr>
          <w:p w14:paraId="0EE3B91C" w14:textId="77777777" w:rsidR="0013527D" w:rsidRPr="0013527D" w:rsidRDefault="0013527D" w:rsidP="0013527D">
            <w:pPr>
              <w:pStyle w:val="Paragraphedeliste"/>
              <w:numPr>
                <w:ilvl w:val="0"/>
                <w:numId w:val="17"/>
              </w:numPr>
              <w:rPr>
                <w:rFonts w:ascii="Arial Narrow" w:hAnsi="Arial Narrow" w:cs="Times New Roman"/>
                <w:sz w:val="20"/>
                <w:szCs w:val="20"/>
              </w:rPr>
            </w:pPr>
            <w:r w:rsidRPr="0013527D">
              <w:rPr>
                <w:rFonts w:ascii="Arial Narrow" w:hAnsi="Arial Narrow" w:cs="Times New Roman"/>
                <w:sz w:val="20"/>
                <w:szCs w:val="20"/>
              </w:rPr>
              <w:t xml:space="preserve">10 </w:t>
            </w:r>
            <w:proofErr w:type="spellStart"/>
            <w:r w:rsidRPr="0013527D">
              <w:rPr>
                <w:rFonts w:ascii="Arial Narrow" w:hAnsi="Arial Narrow" w:cs="Times New Roman"/>
                <w:sz w:val="20"/>
                <w:szCs w:val="20"/>
              </w:rPr>
              <w:t>secondes</w:t>
            </w:r>
            <w:proofErr w:type="spellEnd"/>
          </w:p>
        </w:tc>
        <w:tc>
          <w:tcPr>
            <w:tcW w:w="1564" w:type="dxa"/>
            <w:vAlign w:val="center"/>
          </w:tcPr>
          <w:p w14:paraId="514130D3"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372</w:t>
            </w:r>
          </w:p>
        </w:tc>
        <w:tc>
          <w:tcPr>
            <w:tcW w:w="1813" w:type="dxa"/>
            <w:vAlign w:val="center"/>
          </w:tcPr>
          <w:p w14:paraId="4CFAFDB2"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38,6 %</w:t>
            </w:r>
          </w:p>
        </w:tc>
      </w:tr>
      <w:tr w:rsidR="0013527D" w:rsidRPr="00514CA4" w14:paraId="7111B02C" w14:textId="77777777" w:rsidTr="00777483">
        <w:tc>
          <w:tcPr>
            <w:tcW w:w="5685" w:type="dxa"/>
          </w:tcPr>
          <w:p w14:paraId="58532CDC" w14:textId="77777777" w:rsidR="0013527D" w:rsidRPr="0013527D" w:rsidRDefault="0013527D" w:rsidP="00777483">
            <w:pPr>
              <w:rPr>
                <w:rFonts w:ascii="Arial Narrow" w:hAnsi="Arial Narrow" w:cs="Times New Roman"/>
                <w:sz w:val="20"/>
                <w:szCs w:val="20"/>
                <w:lang w:val="fr-FR"/>
              </w:rPr>
            </w:pPr>
            <w:r w:rsidRPr="0013527D">
              <w:rPr>
                <w:rFonts w:ascii="Arial Narrow" w:hAnsi="Arial Narrow" w:cs="Times New Roman"/>
                <w:sz w:val="20"/>
                <w:szCs w:val="20"/>
                <w:lang w:val="fr-FR"/>
              </w:rPr>
              <w:t>Lequel/lesquels des énoncés suivants devrait(aient) être évité(s) car étant associé(s) à un risque accru de colonisation par des germes pathogènes ?</w:t>
            </w:r>
          </w:p>
        </w:tc>
        <w:tc>
          <w:tcPr>
            <w:tcW w:w="1564" w:type="dxa"/>
            <w:vAlign w:val="center"/>
          </w:tcPr>
          <w:p w14:paraId="09ECDF73" w14:textId="77777777" w:rsidR="0013527D" w:rsidRPr="0013527D" w:rsidRDefault="0013527D" w:rsidP="00777483">
            <w:pPr>
              <w:jc w:val="center"/>
              <w:rPr>
                <w:rFonts w:ascii="Arial Narrow" w:hAnsi="Arial Narrow" w:cs="Times New Roman"/>
                <w:sz w:val="20"/>
                <w:szCs w:val="20"/>
                <w:lang w:val="fr-FR"/>
              </w:rPr>
            </w:pPr>
          </w:p>
        </w:tc>
        <w:tc>
          <w:tcPr>
            <w:tcW w:w="1813" w:type="dxa"/>
            <w:vAlign w:val="center"/>
          </w:tcPr>
          <w:p w14:paraId="5F44E4FD" w14:textId="77777777" w:rsidR="0013527D" w:rsidRPr="0013527D" w:rsidRDefault="0013527D" w:rsidP="00777483">
            <w:pPr>
              <w:jc w:val="center"/>
              <w:rPr>
                <w:rFonts w:ascii="Arial Narrow" w:hAnsi="Arial Narrow" w:cs="Times New Roman"/>
                <w:sz w:val="20"/>
                <w:szCs w:val="20"/>
                <w:lang w:val="fr-FR"/>
              </w:rPr>
            </w:pPr>
          </w:p>
        </w:tc>
      </w:tr>
      <w:tr w:rsidR="0013527D" w:rsidRPr="0013527D" w14:paraId="4C91B4E4" w14:textId="77777777" w:rsidTr="00777483">
        <w:tc>
          <w:tcPr>
            <w:tcW w:w="5685" w:type="dxa"/>
          </w:tcPr>
          <w:p w14:paraId="4EA08843" w14:textId="77777777" w:rsidR="0013527D" w:rsidRPr="0013527D" w:rsidRDefault="0013527D" w:rsidP="0013527D">
            <w:pPr>
              <w:pStyle w:val="Paragraphedeliste"/>
              <w:numPr>
                <w:ilvl w:val="0"/>
                <w:numId w:val="18"/>
              </w:numPr>
              <w:rPr>
                <w:rFonts w:ascii="Arial Narrow" w:hAnsi="Arial Narrow" w:cs="Times New Roman"/>
                <w:b/>
                <w:bCs/>
                <w:sz w:val="20"/>
                <w:szCs w:val="20"/>
                <w:lang w:val="fr-FR"/>
              </w:rPr>
            </w:pPr>
            <w:r w:rsidRPr="0013527D">
              <w:rPr>
                <w:rFonts w:ascii="Arial Narrow" w:hAnsi="Arial Narrow" w:cs="Times New Roman"/>
                <w:b/>
                <w:bCs/>
                <w:sz w:val="20"/>
                <w:szCs w:val="20"/>
                <w:lang w:val="fr-FR"/>
              </w:rPr>
              <w:t>Porter des bijoux ou autres ornements</w:t>
            </w:r>
          </w:p>
        </w:tc>
        <w:tc>
          <w:tcPr>
            <w:tcW w:w="1564" w:type="dxa"/>
            <w:vAlign w:val="center"/>
          </w:tcPr>
          <w:p w14:paraId="7F984AFA"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920</w:t>
            </w:r>
          </w:p>
        </w:tc>
        <w:tc>
          <w:tcPr>
            <w:tcW w:w="1813" w:type="dxa"/>
            <w:vAlign w:val="center"/>
          </w:tcPr>
          <w:p w14:paraId="10815475"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95,5 %</w:t>
            </w:r>
          </w:p>
        </w:tc>
      </w:tr>
      <w:tr w:rsidR="0013527D" w:rsidRPr="0013527D" w14:paraId="77738500" w14:textId="77777777" w:rsidTr="00777483">
        <w:tc>
          <w:tcPr>
            <w:tcW w:w="5685" w:type="dxa"/>
          </w:tcPr>
          <w:p w14:paraId="0CD56500" w14:textId="77777777" w:rsidR="0013527D" w:rsidRPr="0013527D" w:rsidRDefault="0013527D" w:rsidP="0013527D">
            <w:pPr>
              <w:pStyle w:val="Paragraphedeliste"/>
              <w:numPr>
                <w:ilvl w:val="0"/>
                <w:numId w:val="18"/>
              </w:numPr>
              <w:rPr>
                <w:rFonts w:ascii="Arial Narrow" w:hAnsi="Arial Narrow" w:cs="Times New Roman"/>
                <w:b/>
                <w:bCs/>
                <w:sz w:val="20"/>
                <w:szCs w:val="20"/>
                <w:lang w:val="fr-FR"/>
              </w:rPr>
            </w:pPr>
            <w:r w:rsidRPr="0013527D">
              <w:rPr>
                <w:rFonts w:ascii="Arial Narrow" w:hAnsi="Arial Narrow" w:cs="Times New Roman"/>
                <w:b/>
                <w:bCs/>
                <w:sz w:val="20"/>
                <w:szCs w:val="20"/>
                <w:lang w:val="fr-FR"/>
              </w:rPr>
              <w:t>Peau lésée (plaies et autres lésions de la peau)</w:t>
            </w:r>
          </w:p>
        </w:tc>
        <w:tc>
          <w:tcPr>
            <w:tcW w:w="1564" w:type="dxa"/>
            <w:vAlign w:val="center"/>
          </w:tcPr>
          <w:p w14:paraId="71906021"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912</w:t>
            </w:r>
          </w:p>
        </w:tc>
        <w:tc>
          <w:tcPr>
            <w:tcW w:w="1813" w:type="dxa"/>
            <w:vAlign w:val="center"/>
          </w:tcPr>
          <w:p w14:paraId="4AC4B57E"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94, 7 %</w:t>
            </w:r>
          </w:p>
        </w:tc>
      </w:tr>
      <w:tr w:rsidR="0013527D" w:rsidRPr="0013527D" w14:paraId="79CB42FB" w14:textId="77777777" w:rsidTr="00D13460">
        <w:tc>
          <w:tcPr>
            <w:tcW w:w="5685" w:type="dxa"/>
          </w:tcPr>
          <w:p w14:paraId="25C25639" w14:textId="77777777" w:rsidR="0013527D" w:rsidRPr="0013527D" w:rsidRDefault="0013527D" w:rsidP="0013527D">
            <w:pPr>
              <w:pStyle w:val="Paragraphedeliste"/>
              <w:numPr>
                <w:ilvl w:val="0"/>
                <w:numId w:val="18"/>
              </w:numPr>
              <w:rPr>
                <w:rFonts w:ascii="Arial Narrow" w:hAnsi="Arial Narrow" w:cs="Times New Roman"/>
                <w:b/>
                <w:bCs/>
                <w:sz w:val="20"/>
                <w:szCs w:val="20"/>
              </w:rPr>
            </w:pPr>
            <w:proofErr w:type="spellStart"/>
            <w:r w:rsidRPr="0013527D">
              <w:rPr>
                <w:rFonts w:ascii="Arial Narrow" w:hAnsi="Arial Narrow" w:cs="Times New Roman"/>
                <w:b/>
                <w:bCs/>
                <w:sz w:val="20"/>
                <w:szCs w:val="20"/>
              </w:rPr>
              <w:lastRenderedPageBreak/>
              <w:t>Ongles</w:t>
            </w:r>
            <w:proofErr w:type="spellEnd"/>
            <w:r w:rsidRPr="0013527D">
              <w:rPr>
                <w:rFonts w:ascii="Arial Narrow" w:hAnsi="Arial Narrow" w:cs="Times New Roman"/>
                <w:b/>
                <w:bCs/>
                <w:sz w:val="20"/>
                <w:szCs w:val="20"/>
              </w:rPr>
              <w:t xml:space="preserve"> </w:t>
            </w:r>
            <w:proofErr w:type="spellStart"/>
            <w:r w:rsidRPr="0013527D">
              <w:rPr>
                <w:rFonts w:ascii="Arial Narrow" w:hAnsi="Arial Narrow" w:cs="Times New Roman"/>
                <w:b/>
                <w:bCs/>
                <w:sz w:val="20"/>
                <w:szCs w:val="20"/>
              </w:rPr>
              <w:t>artificiels</w:t>
            </w:r>
            <w:proofErr w:type="spellEnd"/>
            <w:r w:rsidRPr="0013527D">
              <w:rPr>
                <w:rFonts w:ascii="Arial Narrow" w:hAnsi="Arial Narrow" w:cs="Times New Roman"/>
                <w:b/>
                <w:bCs/>
                <w:sz w:val="20"/>
                <w:szCs w:val="20"/>
              </w:rPr>
              <w:t xml:space="preserve"> (« faux </w:t>
            </w:r>
            <w:proofErr w:type="spellStart"/>
            <w:r w:rsidRPr="0013527D">
              <w:rPr>
                <w:rFonts w:ascii="Arial Narrow" w:hAnsi="Arial Narrow" w:cs="Times New Roman"/>
                <w:b/>
                <w:bCs/>
                <w:sz w:val="20"/>
                <w:szCs w:val="20"/>
              </w:rPr>
              <w:t>ongles</w:t>
            </w:r>
            <w:proofErr w:type="spellEnd"/>
            <w:r w:rsidRPr="0013527D">
              <w:rPr>
                <w:rFonts w:ascii="Arial Narrow" w:hAnsi="Arial Narrow" w:cs="Times New Roman"/>
                <w:b/>
                <w:bCs/>
                <w:sz w:val="20"/>
                <w:szCs w:val="20"/>
              </w:rPr>
              <w:t xml:space="preserve"> »)</w:t>
            </w:r>
          </w:p>
        </w:tc>
        <w:tc>
          <w:tcPr>
            <w:tcW w:w="1564" w:type="dxa"/>
            <w:vAlign w:val="center"/>
          </w:tcPr>
          <w:p w14:paraId="2B72A10D"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920</w:t>
            </w:r>
          </w:p>
        </w:tc>
        <w:tc>
          <w:tcPr>
            <w:tcW w:w="1813" w:type="dxa"/>
            <w:vAlign w:val="center"/>
          </w:tcPr>
          <w:p w14:paraId="6799291E" w14:textId="77777777" w:rsidR="0013527D" w:rsidRPr="0013527D" w:rsidRDefault="0013527D" w:rsidP="00777483">
            <w:pPr>
              <w:jc w:val="center"/>
              <w:rPr>
                <w:rFonts w:ascii="Arial Narrow" w:hAnsi="Arial Narrow" w:cs="Times New Roman"/>
                <w:b/>
                <w:bCs/>
                <w:sz w:val="20"/>
                <w:szCs w:val="20"/>
              </w:rPr>
            </w:pPr>
            <w:r w:rsidRPr="0013527D">
              <w:rPr>
                <w:rFonts w:ascii="Arial Narrow" w:hAnsi="Arial Narrow" w:cs="Times New Roman"/>
                <w:b/>
                <w:bCs/>
                <w:sz w:val="20"/>
                <w:szCs w:val="20"/>
              </w:rPr>
              <w:t>95,5 %</w:t>
            </w:r>
          </w:p>
        </w:tc>
      </w:tr>
      <w:tr w:rsidR="0013527D" w:rsidRPr="0013527D" w14:paraId="7333A4FA" w14:textId="77777777" w:rsidTr="00D13460">
        <w:tc>
          <w:tcPr>
            <w:tcW w:w="5685" w:type="dxa"/>
            <w:tcBorders>
              <w:bottom w:val="single" w:sz="8" w:space="0" w:color="1F497D" w:themeColor="text2"/>
            </w:tcBorders>
          </w:tcPr>
          <w:p w14:paraId="05D58448" w14:textId="77777777" w:rsidR="0013527D" w:rsidRPr="0013527D" w:rsidRDefault="0013527D" w:rsidP="0013527D">
            <w:pPr>
              <w:pStyle w:val="Paragraphedeliste"/>
              <w:numPr>
                <w:ilvl w:val="0"/>
                <w:numId w:val="18"/>
              </w:numPr>
              <w:rPr>
                <w:rFonts w:ascii="Arial Narrow" w:hAnsi="Arial Narrow" w:cs="Times New Roman"/>
                <w:sz w:val="20"/>
                <w:szCs w:val="20"/>
                <w:lang w:val="fr-FR"/>
              </w:rPr>
            </w:pPr>
            <w:r w:rsidRPr="0013527D">
              <w:rPr>
                <w:rFonts w:ascii="Arial Narrow" w:hAnsi="Arial Narrow" w:cs="Times New Roman"/>
                <w:sz w:val="20"/>
                <w:szCs w:val="20"/>
                <w:lang w:val="fr-FR"/>
              </w:rPr>
              <w:t>Usage régulier d’une crème pour les mains</w:t>
            </w:r>
          </w:p>
        </w:tc>
        <w:tc>
          <w:tcPr>
            <w:tcW w:w="1564" w:type="dxa"/>
            <w:tcBorders>
              <w:bottom w:val="single" w:sz="8" w:space="0" w:color="1F497D" w:themeColor="text2"/>
            </w:tcBorders>
            <w:vAlign w:val="center"/>
          </w:tcPr>
          <w:p w14:paraId="6B40839D"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681</w:t>
            </w:r>
          </w:p>
        </w:tc>
        <w:tc>
          <w:tcPr>
            <w:tcW w:w="1813" w:type="dxa"/>
            <w:tcBorders>
              <w:bottom w:val="single" w:sz="8" w:space="0" w:color="1F497D" w:themeColor="text2"/>
            </w:tcBorders>
            <w:vAlign w:val="center"/>
          </w:tcPr>
          <w:p w14:paraId="2506067D" w14:textId="77777777" w:rsidR="0013527D" w:rsidRPr="0013527D" w:rsidRDefault="0013527D" w:rsidP="00777483">
            <w:pPr>
              <w:jc w:val="center"/>
              <w:rPr>
                <w:rFonts w:ascii="Arial Narrow" w:hAnsi="Arial Narrow" w:cs="Times New Roman"/>
                <w:sz w:val="20"/>
                <w:szCs w:val="20"/>
              </w:rPr>
            </w:pPr>
            <w:r w:rsidRPr="0013527D">
              <w:rPr>
                <w:rFonts w:ascii="Arial Narrow" w:hAnsi="Arial Narrow" w:cs="Times New Roman"/>
                <w:sz w:val="20"/>
                <w:szCs w:val="20"/>
              </w:rPr>
              <w:t>70,7 %</w:t>
            </w:r>
          </w:p>
        </w:tc>
      </w:tr>
    </w:tbl>
    <w:p w14:paraId="591B9148" w14:textId="77777777" w:rsidR="0013527D" w:rsidRDefault="0013527D" w:rsidP="00E76207">
      <w:pPr>
        <w:spacing w:after="0"/>
        <w:jc w:val="both"/>
        <w:rPr>
          <w:rFonts w:ascii="Arial Narrow" w:hAnsi="Arial Narrow"/>
          <w:sz w:val="20"/>
          <w:szCs w:val="20"/>
          <w:lang w:val="fr-FR"/>
        </w:rPr>
      </w:pPr>
    </w:p>
    <w:p w14:paraId="11AFFD4B" w14:textId="23A9EB08" w:rsidR="00D13460" w:rsidRPr="00D13460" w:rsidRDefault="00D13460" w:rsidP="00D13460">
      <w:pPr>
        <w:spacing w:line="240" w:lineRule="auto"/>
        <w:jc w:val="both"/>
        <w:rPr>
          <w:rFonts w:ascii="Arial Narrow" w:hAnsi="Arial Narrow"/>
          <w:sz w:val="20"/>
          <w:szCs w:val="20"/>
          <w:lang w:val="fr-FR"/>
        </w:rPr>
      </w:pPr>
      <w:r w:rsidRPr="00D13460">
        <w:rPr>
          <w:rFonts w:ascii="Arial Narrow" w:hAnsi="Arial Narrow"/>
          <w:sz w:val="20"/>
          <w:szCs w:val="20"/>
          <w:lang w:val="fr-FR"/>
        </w:rPr>
        <w:t>L</w:t>
      </w:r>
      <w:r>
        <w:rPr>
          <w:rFonts w:ascii="Arial Narrow" w:hAnsi="Arial Narrow"/>
          <w:sz w:val="20"/>
          <w:szCs w:val="20"/>
          <w:lang w:val="fr-FR"/>
        </w:rPr>
        <w:t>e</w:t>
      </w:r>
      <w:r w:rsidRPr="00D13460">
        <w:rPr>
          <w:rFonts w:ascii="Arial Narrow" w:hAnsi="Arial Narrow"/>
          <w:sz w:val="20"/>
          <w:szCs w:val="20"/>
          <w:lang w:val="fr-FR"/>
        </w:rPr>
        <w:t xml:space="preserve"> tableau 3 présente les facteurs associés à la bonne connaissance des précautions standards à l’analyse multivariable. Ajustés sur le sexe, le profil, le type de formation sanitaire, la région sanitaire, l’ancienneté et le fait d’avoir bénéficié d’une formation sur les précautions standard étaient significativement associés à la bonne connaissance des précautions standards au seuil de 5%. Comparés aux médecins, les sage-femmes ou maïeuticiens avaient une probabilité six fois plus élevée d’avoir de bonnes connaissances sur les précautions standards (</w:t>
      </w:r>
      <w:proofErr w:type="spellStart"/>
      <w:r w:rsidRPr="00D13460">
        <w:rPr>
          <w:rFonts w:ascii="Arial Narrow" w:hAnsi="Arial Narrow"/>
          <w:sz w:val="20"/>
          <w:szCs w:val="20"/>
          <w:lang w:val="fr-FR"/>
        </w:rPr>
        <w:t>odds</w:t>
      </w:r>
      <w:proofErr w:type="spellEnd"/>
      <w:r w:rsidRPr="00D13460">
        <w:rPr>
          <w:rFonts w:ascii="Arial Narrow" w:hAnsi="Arial Narrow"/>
          <w:sz w:val="20"/>
          <w:szCs w:val="20"/>
          <w:lang w:val="fr-FR"/>
        </w:rPr>
        <w:t xml:space="preserve"> ratio ajusté [</w:t>
      </w:r>
      <w:proofErr w:type="spellStart"/>
      <w:r w:rsidRPr="00D13460">
        <w:rPr>
          <w:rFonts w:ascii="Arial Narrow" w:hAnsi="Arial Narrow"/>
          <w:sz w:val="20"/>
          <w:szCs w:val="20"/>
          <w:lang w:val="fr-FR"/>
        </w:rPr>
        <w:t>ORa</w:t>
      </w:r>
      <w:proofErr w:type="spellEnd"/>
      <w:r w:rsidRPr="00D13460">
        <w:rPr>
          <w:rFonts w:ascii="Arial Narrow" w:hAnsi="Arial Narrow"/>
          <w:sz w:val="20"/>
          <w:szCs w:val="20"/>
          <w:lang w:val="fr-FR"/>
        </w:rPr>
        <w:t>] : 6,20 ; intervalle de confiance à 95% [IC95%] : 2,49 ; 16,3). Les PS de la région du Centre avaient une probabilité deux fois plus élevée d’avoir de bonnes connaissances comparées aux autres (</w:t>
      </w:r>
      <w:proofErr w:type="spellStart"/>
      <w:r w:rsidRPr="00D13460">
        <w:rPr>
          <w:rFonts w:ascii="Arial Narrow" w:hAnsi="Arial Narrow"/>
          <w:sz w:val="20"/>
          <w:szCs w:val="20"/>
          <w:lang w:val="fr-FR"/>
        </w:rPr>
        <w:t>ORa</w:t>
      </w:r>
      <w:proofErr w:type="spellEnd"/>
      <w:r w:rsidRPr="00D13460">
        <w:rPr>
          <w:rFonts w:ascii="Arial Narrow" w:hAnsi="Arial Narrow"/>
          <w:sz w:val="20"/>
          <w:szCs w:val="20"/>
          <w:lang w:val="fr-FR"/>
        </w:rPr>
        <w:t xml:space="preserve"> : 1.67 ; IC95% : 1,03 ; 2,72). Les PS travaillant dans les CSPS avaient une probabilité significativement plus faible d’avoir de bonnes connaissances comparées à ceux travaillant dans les CHR/CHU (</w:t>
      </w:r>
      <w:proofErr w:type="spellStart"/>
      <w:r w:rsidRPr="00D13460">
        <w:rPr>
          <w:rFonts w:ascii="Arial Narrow" w:hAnsi="Arial Narrow"/>
          <w:sz w:val="20"/>
          <w:szCs w:val="20"/>
          <w:lang w:val="fr-FR"/>
        </w:rPr>
        <w:t>ORa</w:t>
      </w:r>
      <w:proofErr w:type="spellEnd"/>
      <w:r w:rsidRPr="00D13460">
        <w:rPr>
          <w:rFonts w:ascii="Arial Narrow" w:hAnsi="Arial Narrow"/>
          <w:sz w:val="20"/>
          <w:szCs w:val="20"/>
          <w:lang w:val="fr-FR"/>
        </w:rPr>
        <w:t xml:space="preserve"> : 0.42 ; IC95% : 0,17-0,98). Aussi, ceux qui avaient une ancienneté de plus de deux ans avaient une probabilité significativement plus faible. Enfin, ceux ayant bénéficié d’une formation avaient deux fois plus de chance d’avoir de bonnes connaissances comparées à ceux qui n’avaient jamais été formés (</w:t>
      </w:r>
      <w:proofErr w:type="spellStart"/>
      <w:r w:rsidRPr="00D13460">
        <w:rPr>
          <w:rFonts w:ascii="Arial Narrow" w:hAnsi="Arial Narrow"/>
          <w:sz w:val="20"/>
          <w:szCs w:val="20"/>
          <w:lang w:val="fr-FR"/>
        </w:rPr>
        <w:t>ORa</w:t>
      </w:r>
      <w:proofErr w:type="spellEnd"/>
      <w:r w:rsidRPr="00D13460">
        <w:rPr>
          <w:rFonts w:ascii="Arial Narrow" w:hAnsi="Arial Narrow"/>
          <w:sz w:val="20"/>
          <w:szCs w:val="20"/>
          <w:lang w:val="fr-FR"/>
        </w:rPr>
        <w:t xml:space="preserve"> : 2,07 ; IC95% : 1,09 ; 4.02).</w:t>
      </w:r>
    </w:p>
    <w:p w14:paraId="2D2F7BE0" w14:textId="2794F393" w:rsidR="00D13460" w:rsidRDefault="00D13460" w:rsidP="00D13460">
      <w:pPr>
        <w:jc w:val="both"/>
        <w:rPr>
          <w:rFonts w:ascii="Arial Narrow" w:hAnsi="Arial Narrow"/>
          <w:sz w:val="20"/>
          <w:szCs w:val="20"/>
          <w:lang w:val="fr-FR"/>
        </w:rPr>
      </w:pPr>
      <w:bookmarkStart w:id="8" w:name="_Toc152136579"/>
      <w:r w:rsidRPr="00D13460">
        <w:rPr>
          <w:rFonts w:ascii="Arial Narrow" w:hAnsi="Arial Narrow"/>
          <w:b/>
          <w:bCs/>
          <w:color w:val="1F497D" w:themeColor="text2"/>
          <w:sz w:val="20"/>
          <w:szCs w:val="20"/>
          <w:lang w:val="fr-FR"/>
        </w:rPr>
        <w:t>Tableau 3</w:t>
      </w:r>
      <w:r w:rsidRPr="00D13460">
        <w:rPr>
          <w:rFonts w:ascii="Arial Narrow" w:hAnsi="Arial Narrow"/>
          <w:color w:val="1F497D" w:themeColor="text2"/>
          <w:sz w:val="20"/>
          <w:szCs w:val="20"/>
          <w:lang w:val="fr-FR"/>
        </w:rPr>
        <w:t> </w:t>
      </w:r>
      <w:r w:rsidRPr="00D13460">
        <w:rPr>
          <w:rFonts w:ascii="Arial Narrow" w:hAnsi="Arial Narrow"/>
          <w:sz w:val="20"/>
          <w:szCs w:val="20"/>
          <w:lang w:val="fr-FR"/>
        </w:rPr>
        <w:t>: Facteurs associés à la bonne connaissance des mesures de précautions standards chez les prestataires de soins au Burkina Faso, 18 septembre au 1er octobre 2023. (Régression logistique multivariables</w:t>
      </w:r>
      <w:bookmarkEnd w:id="8"/>
      <w:r w:rsidRPr="00D13460">
        <w:rPr>
          <w:rFonts w:ascii="Arial Narrow" w:hAnsi="Arial Narrow"/>
          <w:sz w:val="20"/>
          <w:szCs w:val="20"/>
          <w:lang w:val="fr-FR"/>
        </w:rPr>
        <w:t>)</w:t>
      </w:r>
    </w:p>
    <w:tbl>
      <w:tblPr>
        <w:tblW w:w="9299" w:type="dxa"/>
        <w:tblLayout w:type="fixed"/>
        <w:tblLook w:val="0420" w:firstRow="1" w:lastRow="0" w:firstColumn="0" w:lastColumn="0" w:noHBand="0" w:noVBand="1"/>
      </w:tblPr>
      <w:tblGrid>
        <w:gridCol w:w="4663"/>
        <w:gridCol w:w="1141"/>
        <w:gridCol w:w="1888"/>
        <w:gridCol w:w="1607"/>
      </w:tblGrid>
      <w:tr w:rsidR="00D13460" w:rsidRPr="00D13460" w14:paraId="300F9796" w14:textId="77777777" w:rsidTr="00D13460">
        <w:trPr>
          <w:trHeight w:val="233"/>
          <w:tblHeader/>
        </w:trPr>
        <w:tc>
          <w:tcPr>
            <w:tcW w:w="4663" w:type="dxa"/>
            <w:tcBorders>
              <w:top w:val="single" w:sz="8" w:space="0" w:color="1F497D" w:themeColor="text2"/>
              <w:bottom w:val="single" w:sz="8" w:space="0" w:color="1F497D" w:themeColor="text2"/>
            </w:tcBorders>
            <w:shd w:val="clear" w:color="auto" w:fill="FFFFFF"/>
            <w:tcMar>
              <w:top w:w="0" w:type="dxa"/>
              <w:left w:w="0" w:type="dxa"/>
              <w:bottom w:w="0" w:type="dxa"/>
              <w:right w:w="0" w:type="dxa"/>
            </w:tcMar>
            <w:vAlign w:val="center"/>
          </w:tcPr>
          <w:p w14:paraId="140C57D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sz w:val="20"/>
                <w:szCs w:val="20"/>
              </w:rPr>
            </w:pPr>
            <w:r w:rsidRPr="00D13460">
              <w:rPr>
                <w:rFonts w:ascii="Arial Narrow" w:eastAsia="Arial" w:hAnsi="Arial Narrow" w:cs="Times New Roman"/>
                <w:b/>
                <w:color w:val="000000"/>
                <w:sz w:val="20"/>
                <w:szCs w:val="20"/>
              </w:rPr>
              <w:t>Variables</w:t>
            </w:r>
          </w:p>
        </w:tc>
        <w:tc>
          <w:tcPr>
            <w:tcW w:w="1141" w:type="dxa"/>
            <w:tcBorders>
              <w:top w:val="single" w:sz="8" w:space="0" w:color="1F497D" w:themeColor="text2"/>
              <w:bottom w:val="single" w:sz="8" w:space="0" w:color="1F497D" w:themeColor="text2"/>
            </w:tcBorders>
            <w:shd w:val="clear" w:color="auto" w:fill="FFFFFF"/>
            <w:tcMar>
              <w:top w:w="0" w:type="dxa"/>
              <w:left w:w="0" w:type="dxa"/>
              <w:bottom w:w="0" w:type="dxa"/>
              <w:right w:w="0" w:type="dxa"/>
            </w:tcMar>
            <w:vAlign w:val="center"/>
          </w:tcPr>
          <w:p w14:paraId="3892117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b/>
                <w:color w:val="000000"/>
                <w:sz w:val="20"/>
                <w:szCs w:val="20"/>
              </w:rPr>
              <w:t>ORa</w:t>
            </w:r>
            <w:r w:rsidRPr="00D13460">
              <w:rPr>
                <w:rFonts w:ascii="Arial Narrow" w:eastAsia="Arial" w:hAnsi="Arial Narrow" w:cs="Times New Roman"/>
                <w:color w:val="000000"/>
                <w:sz w:val="20"/>
                <w:szCs w:val="20"/>
                <w:vertAlign w:val="superscript"/>
              </w:rPr>
              <w:t>1</w:t>
            </w:r>
          </w:p>
        </w:tc>
        <w:tc>
          <w:tcPr>
            <w:tcW w:w="1888" w:type="dxa"/>
            <w:tcBorders>
              <w:top w:val="single" w:sz="8" w:space="0" w:color="1F497D" w:themeColor="text2"/>
              <w:bottom w:val="single" w:sz="8" w:space="0" w:color="1F497D" w:themeColor="text2"/>
            </w:tcBorders>
            <w:shd w:val="clear" w:color="auto" w:fill="FFFFFF"/>
            <w:tcMar>
              <w:top w:w="0" w:type="dxa"/>
              <w:left w:w="0" w:type="dxa"/>
              <w:bottom w:w="0" w:type="dxa"/>
              <w:right w:w="0" w:type="dxa"/>
            </w:tcMar>
            <w:vAlign w:val="center"/>
          </w:tcPr>
          <w:p w14:paraId="56B4FDF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b/>
                <w:color w:val="000000"/>
                <w:sz w:val="20"/>
                <w:szCs w:val="20"/>
              </w:rPr>
              <w:t>IC 95%</w:t>
            </w:r>
            <w:r w:rsidRPr="00D13460">
              <w:rPr>
                <w:rFonts w:ascii="Arial Narrow" w:eastAsia="Arial" w:hAnsi="Arial Narrow" w:cs="Times New Roman"/>
                <w:color w:val="000000"/>
                <w:sz w:val="20"/>
                <w:szCs w:val="20"/>
                <w:vertAlign w:val="superscript"/>
              </w:rPr>
              <w:t>1</w:t>
            </w:r>
          </w:p>
        </w:tc>
        <w:tc>
          <w:tcPr>
            <w:tcW w:w="1607" w:type="dxa"/>
            <w:tcBorders>
              <w:top w:val="single" w:sz="8" w:space="0" w:color="1F497D" w:themeColor="text2"/>
              <w:bottom w:val="single" w:sz="8" w:space="0" w:color="1F497D" w:themeColor="text2"/>
            </w:tcBorders>
            <w:shd w:val="clear" w:color="auto" w:fill="FFFFFF"/>
            <w:tcMar>
              <w:top w:w="0" w:type="dxa"/>
              <w:left w:w="0" w:type="dxa"/>
              <w:bottom w:w="0" w:type="dxa"/>
              <w:right w:w="0" w:type="dxa"/>
            </w:tcMar>
            <w:vAlign w:val="center"/>
          </w:tcPr>
          <w:p w14:paraId="787EB5C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b/>
                <w:color w:val="000000"/>
                <w:sz w:val="20"/>
                <w:szCs w:val="20"/>
              </w:rPr>
              <w:t>p-value</w:t>
            </w:r>
          </w:p>
        </w:tc>
      </w:tr>
      <w:tr w:rsidR="00D13460" w:rsidRPr="00D13460" w14:paraId="3FFDF17F" w14:textId="77777777" w:rsidTr="00D13460">
        <w:trPr>
          <w:trHeight w:val="180"/>
        </w:trPr>
        <w:tc>
          <w:tcPr>
            <w:tcW w:w="4663" w:type="dxa"/>
            <w:tcBorders>
              <w:top w:val="single" w:sz="8" w:space="0" w:color="1F497D" w:themeColor="text2"/>
            </w:tcBorders>
            <w:shd w:val="clear" w:color="auto" w:fill="FFFFFF"/>
            <w:tcMar>
              <w:top w:w="0" w:type="dxa"/>
              <w:left w:w="0" w:type="dxa"/>
              <w:bottom w:w="0" w:type="dxa"/>
              <w:right w:w="0" w:type="dxa"/>
            </w:tcMar>
          </w:tcPr>
          <w:p w14:paraId="613733AD"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b/>
                <w:bCs/>
                <w:sz w:val="20"/>
                <w:szCs w:val="20"/>
              </w:rPr>
            </w:pPr>
            <w:proofErr w:type="spellStart"/>
            <w:r w:rsidRPr="00D13460">
              <w:rPr>
                <w:rFonts w:ascii="Arial Narrow" w:eastAsia="Arial" w:hAnsi="Arial Narrow" w:cs="Times New Roman"/>
                <w:b/>
                <w:bCs/>
                <w:color w:val="000000"/>
                <w:sz w:val="20"/>
                <w:szCs w:val="20"/>
              </w:rPr>
              <w:t>Profil</w:t>
            </w:r>
            <w:proofErr w:type="spellEnd"/>
            <w:r w:rsidRPr="00D13460">
              <w:rPr>
                <w:rFonts w:ascii="Arial Narrow" w:eastAsia="Arial" w:hAnsi="Arial Narrow" w:cs="Times New Roman"/>
                <w:b/>
                <w:bCs/>
                <w:color w:val="000000"/>
                <w:sz w:val="20"/>
                <w:szCs w:val="20"/>
              </w:rPr>
              <w:t xml:space="preserve"> de </w:t>
            </w:r>
            <w:proofErr w:type="spellStart"/>
            <w:r w:rsidRPr="00D13460">
              <w:rPr>
                <w:rFonts w:ascii="Arial Narrow" w:eastAsia="Arial" w:hAnsi="Arial Narrow" w:cs="Times New Roman"/>
                <w:b/>
                <w:bCs/>
                <w:color w:val="000000"/>
                <w:sz w:val="20"/>
                <w:szCs w:val="20"/>
              </w:rPr>
              <w:t>l’agent</w:t>
            </w:r>
            <w:proofErr w:type="spellEnd"/>
          </w:p>
        </w:tc>
        <w:tc>
          <w:tcPr>
            <w:tcW w:w="1141" w:type="dxa"/>
            <w:tcBorders>
              <w:top w:val="single" w:sz="8" w:space="0" w:color="1F497D" w:themeColor="text2"/>
            </w:tcBorders>
            <w:shd w:val="clear" w:color="auto" w:fill="FFFFFF"/>
            <w:tcMar>
              <w:top w:w="0" w:type="dxa"/>
              <w:left w:w="0" w:type="dxa"/>
              <w:bottom w:w="0" w:type="dxa"/>
              <w:right w:w="0" w:type="dxa"/>
            </w:tcMar>
          </w:tcPr>
          <w:p w14:paraId="1DC65A0D"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888" w:type="dxa"/>
            <w:tcBorders>
              <w:top w:val="single" w:sz="8" w:space="0" w:color="1F497D" w:themeColor="text2"/>
            </w:tcBorders>
            <w:shd w:val="clear" w:color="auto" w:fill="FFFFFF"/>
            <w:tcMar>
              <w:top w:w="0" w:type="dxa"/>
              <w:left w:w="0" w:type="dxa"/>
              <w:bottom w:w="0" w:type="dxa"/>
              <w:right w:w="0" w:type="dxa"/>
            </w:tcMar>
          </w:tcPr>
          <w:p w14:paraId="5D797545"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607" w:type="dxa"/>
            <w:tcBorders>
              <w:top w:val="single" w:sz="8" w:space="0" w:color="1F497D" w:themeColor="text2"/>
            </w:tcBorders>
            <w:shd w:val="clear" w:color="auto" w:fill="FFFFFF"/>
            <w:tcMar>
              <w:top w:w="0" w:type="dxa"/>
              <w:left w:w="0" w:type="dxa"/>
              <w:bottom w:w="0" w:type="dxa"/>
              <w:right w:w="0" w:type="dxa"/>
            </w:tcMar>
          </w:tcPr>
          <w:p w14:paraId="1794BC0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&lt;0.001</w:t>
            </w:r>
          </w:p>
        </w:tc>
      </w:tr>
      <w:tr w:rsidR="00D13460" w:rsidRPr="00D13460" w14:paraId="7F5E3CC0" w14:textId="77777777" w:rsidTr="00777483">
        <w:trPr>
          <w:trHeight w:val="270"/>
        </w:trPr>
        <w:tc>
          <w:tcPr>
            <w:tcW w:w="4663" w:type="dxa"/>
            <w:shd w:val="clear" w:color="auto" w:fill="FFFFFF"/>
            <w:tcMar>
              <w:top w:w="0" w:type="dxa"/>
              <w:left w:w="0" w:type="dxa"/>
              <w:bottom w:w="0" w:type="dxa"/>
              <w:right w:w="0" w:type="dxa"/>
            </w:tcMar>
          </w:tcPr>
          <w:p w14:paraId="0C265B4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Médecin</w:t>
            </w:r>
          </w:p>
        </w:tc>
        <w:tc>
          <w:tcPr>
            <w:tcW w:w="1141" w:type="dxa"/>
            <w:shd w:val="clear" w:color="auto" w:fill="FFFFFF"/>
            <w:tcMar>
              <w:top w:w="0" w:type="dxa"/>
              <w:left w:w="0" w:type="dxa"/>
              <w:bottom w:w="0" w:type="dxa"/>
              <w:right w:w="0" w:type="dxa"/>
            </w:tcMar>
          </w:tcPr>
          <w:p w14:paraId="3688408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w:t>
            </w:r>
          </w:p>
        </w:tc>
        <w:tc>
          <w:tcPr>
            <w:tcW w:w="1888" w:type="dxa"/>
            <w:shd w:val="clear" w:color="auto" w:fill="FFFFFF"/>
            <w:tcMar>
              <w:top w:w="0" w:type="dxa"/>
              <w:left w:w="0" w:type="dxa"/>
              <w:bottom w:w="0" w:type="dxa"/>
              <w:right w:w="0" w:type="dxa"/>
            </w:tcMar>
          </w:tcPr>
          <w:p w14:paraId="241F77E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w:t>
            </w:r>
          </w:p>
        </w:tc>
        <w:tc>
          <w:tcPr>
            <w:tcW w:w="1607" w:type="dxa"/>
            <w:shd w:val="clear" w:color="auto" w:fill="FFFFFF"/>
            <w:tcMar>
              <w:top w:w="0" w:type="dxa"/>
              <w:left w:w="0" w:type="dxa"/>
              <w:bottom w:w="0" w:type="dxa"/>
              <w:right w:w="0" w:type="dxa"/>
            </w:tcMar>
          </w:tcPr>
          <w:p w14:paraId="6648512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r>
      <w:tr w:rsidR="00D13460" w:rsidRPr="00D13460" w14:paraId="45824AEB" w14:textId="77777777" w:rsidTr="00777483">
        <w:trPr>
          <w:trHeight w:val="204"/>
        </w:trPr>
        <w:tc>
          <w:tcPr>
            <w:tcW w:w="4663" w:type="dxa"/>
            <w:shd w:val="clear" w:color="auto" w:fill="FFFFFF"/>
            <w:tcMar>
              <w:top w:w="0" w:type="dxa"/>
              <w:left w:w="0" w:type="dxa"/>
              <w:bottom w:w="0" w:type="dxa"/>
              <w:right w:w="0" w:type="dxa"/>
            </w:tcMar>
          </w:tcPr>
          <w:p w14:paraId="5D4D8E0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Attaché de santé</w:t>
            </w:r>
          </w:p>
        </w:tc>
        <w:tc>
          <w:tcPr>
            <w:tcW w:w="1141" w:type="dxa"/>
            <w:shd w:val="clear" w:color="auto" w:fill="FFFFFF"/>
            <w:tcMar>
              <w:top w:w="0" w:type="dxa"/>
              <w:left w:w="0" w:type="dxa"/>
              <w:bottom w:w="0" w:type="dxa"/>
              <w:right w:w="0" w:type="dxa"/>
            </w:tcMar>
          </w:tcPr>
          <w:p w14:paraId="034F961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0.84</w:t>
            </w:r>
          </w:p>
        </w:tc>
        <w:tc>
          <w:tcPr>
            <w:tcW w:w="1888" w:type="dxa"/>
            <w:shd w:val="clear" w:color="auto" w:fill="FFFFFF"/>
            <w:tcMar>
              <w:top w:w="0" w:type="dxa"/>
              <w:left w:w="0" w:type="dxa"/>
              <w:bottom w:w="0" w:type="dxa"/>
              <w:right w:w="0" w:type="dxa"/>
            </w:tcMar>
          </w:tcPr>
          <w:p w14:paraId="1F3EA70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0.32, 2.25</w:t>
            </w:r>
          </w:p>
        </w:tc>
        <w:tc>
          <w:tcPr>
            <w:tcW w:w="1607" w:type="dxa"/>
            <w:shd w:val="clear" w:color="auto" w:fill="FFFFFF"/>
            <w:tcMar>
              <w:top w:w="0" w:type="dxa"/>
              <w:left w:w="0" w:type="dxa"/>
              <w:bottom w:w="0" w:type="dxa"/>
              <w:right w:w="0" w:type="dxa"/>
            </w:tcMar>
          </w:tcPr>
          <w:p w14:paraId="4199D4B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0.7</w:t>
            </w:r>
          </w:p>
        </w:tc>
      </w:tr>
      <w:tr w:rsidR="00D13460" w:rsidRPr="00D13460" w14:paraId="7E7D122B" w14:textId="77777777" w:rsidTr="00777483">
        <w:trPr>
          <w:trHeight w:val="138"/>
        </w:trPr>
        <w:tc>
          <w:tcPr>
            <w:tcW w:w="4663" w:type="dxa"/>
            <w:shd w:val="clear" w:color="auto" w:fill="FFFFFF"/>
            <w:tcMar>
              <w:top w:w="0" w:type="dxa"/>
              <w:left w:w="0" w:type="dxa"/>
              <w:bottom w:w="0" w:type="dxa"/>
              <w:right w:w="0" w:type="dxa"/>
            </w:tcMar>
          </w:tcPr>
          <w:p w14:paraId="3280FC6D"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proofErr w:type="spellStart"/>
            <w:r w:rsidRPr="00D13460">
              <w:rPr>
                <w:rFonts w:ascii="Arial Narrow" w:eastAsia="Arial" w:hAnsi="Arial Narrow" w:cs="Times New Roman"/>
                <w:color w:val="000000"/>
                <w:sz w:val="20"/>
                <w:szCs w:val="20"/>
              </w:rPr>
              <w:t>Infirmier</w:t>
            </w:r>
            <w:proofErr w:type="spellEnd"/>
          </w:p>
        </w:tc>
        <w:tc>
          <w:tcPr>
            <w:tcW w:w="1141" w:type="dxa"/>
            <w:shd w:val="clear" w:color="auto" w:fill="FFFFFF"/>
            <w:tcMar>
              <w:top w:w="0" w:type="dxa"/>
              <w:left w:w="0" w:type="dxa"/>
              <w:bottom w:w="0" w:type="dxa"/>
              <w:right w:w="0" w:type="dxa"/>
            </w:tcMar>
          </w:tcPr>
          <w:p w14:paraId="1960C062"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0.49</w:t>
            </w:r>
          </w:p>
        </w:tc>
        <w:tc>
          <w:tcPr>
            <w:tcW w:w="1888" w:type="dxa"/>
            <w:shd w:val="clear" w:color="auto" w:fill="FFFFFF"/>
            <w:tcMar>
              <w:top w:w="0" w:type="dxa"/>
              <w:left w:w="0" w:type="dxa"/>
              <w:bottom w:w="0" w:type="dxa"/>
              <w:right w:w="0" w:type="dxa"/>
            </w:tcMar>
          </w:tcPr>
          <w:p w14:paraId="2FC140D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0.20, 1.26</w:t>
            </w:r>
          </w:p>
        </w:tc>
        <w:tc>
          <w:tcPr>
            <w:tcW w:w="1607" w:type="dxa"/>
            <w:shd w:val="clear" w:color="auto" w:fill="FFFFFF"/>
            <w:tcMar>
              <w:top w:w="0" w:type="dxa"/>
              <w:left w:w="0" w:type="dxa"/>
              <w:bottom w:w="0" w:type="dxa"/>
              <w:right w:w="0" w:type="dxa"/>
            </w:tcMar>
          </w:tcPr>
          <w:p w14:paraId="23E0B49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0.13</w:t>
            </w:r>
          </w:p>
        </w:tc>
      </w:tr>
      <w:tr w:rsidR="00D13460" w:rsidRPr="00D13460" w14:paraId="0736B4BA" w14:textId="77777777" w:rsidTr="00777483">
        <w:trPr>
          <w:trHeight w:val="86"/>
        </w:trPr>
        <w:tc>
          <w:tcPr>
            <w:tcW w:w="4663" w:type="dxa"/>
            <w:shd w:val="clear" w:color="auto" w:fill="FFFFFF"/>
            <w:tcMar>
              <w:top w:w="0" w:type="dxa"/>
              <w:left w:w="0" w:type="dxa"/>
              <w:bottom w:w="0" w:type="dxa"/>
              <w:right w:w="0" w:type="dxa"/>
            </w:tcMar>
          </w:tcPr>
          <w:p w14:paraId="1F2EEB7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 xml:space="preserve">Sage-femme </w:t>
            </w:r>
            <w:proofErr w:type="spellStart"/>
            <w:r w:rsidRPr="00D13460">
              <w:rPr>
                <w:rFonts w:ascii="Arial Narrow" w:eastAsia="Arial" w:hAnsi="Arial Narrow" w:cs="Times New Roman"/>
                <w:color w:val="000000"/>
                <w:sz w:val="20"/>
                <w:szCs w:val="20"/>
              </w:rPr>
              <w:t>ou</w:t>
            </w:r>
            <w:proofErr w:type="spellEnd"/>
            <w:r w:rsidRPr="00D13460">
              <w:rPr>
                <w:rFonts w:ascii="Arial Narrow" w:eastAsia="Arial" w:hAnsi="Arial Narrow" w:cs="Times New Roman"/>
                <w:color w:val="000000"/>
                <w:sz w:val="20"/>
                <w:szCs w:val="20"/>
              </w:rPr>
              <w:t xml:space="preserve"> </w:t>
            </w:r>
            <w:proofErr w:type="spellStart"/>
            <w:r w:rsidRPr="00D13460">
              <w:rPr>
                <w:rFonts w:ascii="Arial Narrow" w:eastAsia="Arial" w:hAnsi="Arial Narrow" w:cs="Times New Roman"/>
                <w:color w:val="000000"/>
                <w:sz w:val="20"/>
                <w:szCs w:val="20"/>
              </w:rPr>
              <w:t>maïeuticien</w:t>
            </w:r>
            <w:proofErr w:type="spellEnd"/>
          </w:p>
        </w:tc>
        <w:tc>
          <w:tcPr>
            <w:tcW w:w="1141" w:type="dxa"/>
            <w:shd w:val="clear" w:color="auto" w:fill="FFFFFF"/>
            <w:tcMar>
              <w:top w:w="0" w:type="dxa"/>
              <w:left w:w="0" w:type="dxa"/>
              <w:bottom w:w="0" w:type="dxa"/>
              <w:right w:w="0" w:type="dxa"/>
            </w:tcMar>
          </w:tcPr>
          <w:p w14:paraId="660CFB9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6.20</w:t>
            </w:r>
          </w:p>
        </w:tc>
        <w:tc>
          <w:tcPr>
            <w:tcW w:w="1888" w:type="dxa"/>
            <w:shd w:val="clear" w:color="auto" w:fill="FFFFFF"/>
            <w:tcMar>
              <w:top w:w="0" w:type="dxa"/>
              <w:left w:w="0" w:type="dxa"/>
              <w:bottom w:w="0" w:type="dxa"/>
              <w:right w:w="0" w:type="dxa"/>
            </w:tcMar>
          </w:tcPr>
          <w:p w14:paraId="1B1CC04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2.49, 16.3</w:t>
            </w:r>
          </w:p>
        </w:tc>
        <w:tc>
          <w:tcPr>
            <w:tcW w:w="1607" w:type="dxa"/>
            <w:shd w:val="clear" w:color="auto" w:fill="FFFFFF"/>
            <w:tcMar>
              <w:top w:w="0" w:type="dxa"/>
              <w:left w:w="0" w:type="dxa"/>
              <w:bottom w:w="0" w:type="dxa"/>
              <w:right w:w="0" w:type="dxa"/>
            </w:tcMar>
          </w:tcPr>
          <w:p w14:paraId="39081C6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&lt;0.001</w:t>
            </w:r>
          </w:p>
        </w:tc>
      </w:tr>
      <w:tr w:rsidR="00D13460" w:rsidRPr="00D13460" w14:paraId="081658DE" w14:textId="77777777" w:rsidTr="00777483">
        <w:trPr>
          <w:trHeight w:val="177"/>
        </w:trPr>
        <w:tc>
          <w:tcPr>
            <w:tcW w:w="4663" w:type="dxa"/>
            <w:shd w:val="clear" w:color="auto" w:fill="FFFFFF"/>
            <w:tcMar>
              <w:top w:w="0" w:type="dxa"/>
              <w:left w:w="0" w:type="dxa"/>
              <w:bottom w:w="0" w:type="dxa"/>
              <w:right w:w="0" w:type="dxa"/>
            </w:tcMar>
          </w:tcPr>
          <w:p w14:paraId="58BFE91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Sexe</w:t>
            </w:r>
          </w:p>
        </w:tc>
        <w:tc>
          <w:tcPr>
            <w:tcW w:w="1141" w:type="dxa"/>
            <w:shd w:val="clear" w:color="auto" w:fill="FFFFFF"/>
            <w:tcMar>
              <w:top w:w="0" w:type="dxa"/>
              <w:left w:w="0" w:type="dxa"/>
              <w:bottom w:w="0" w:type="dxa"/>
              <w:right w:w="0" w:type="dxa"/>
            </w:tcMar>
          </w:tcPr>
          <w:p w14:paraId="555EB11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888" w:type="dxa"/>
            <w:shd w:val="clear" w:color="auto" w:fill="FFFFFF"/>
            <w:tcMar>
              <w:top w:w="0" w:type="dxa"/>
              <w:left w:w="0" w:type="dxa"/>
              <w:bottom w:w="0" w:type="dxa"/>
              <w:right w:w="0" w:type="dxa"/>
            </w:tcMar>
          </w:tcPr>
          <w:p w14:paraId="2CBC71A2"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607" w:type="dxa"/>
            <w:shd w:val="clear" w:color="auto" w:fill="FFFFFF"/>
            <w:tcMar>
              <w:top w:w="0" w:type="dxa"/>
              <w:left w:w="0" w:type="dxa"/>
              <w:bottom w:w="0" w:type="dxa"/>
              <w:right w:w="0" w:type="dxa"/>
            </w:tcMar>
          </w:tcPr>
          <w:p w14:paraId="5460291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0.4</w:t>
            </w:r>
          </w:p>
        </w:tc>
      </w:tr>
      <w:tr w:rsidR="00D13460" w:rsidRPr="00D13460" w14:paraId="035A851D" w14:textId="77777777" w:rsidTr="00777483">
        <w:trPr>
          <w:trHeight w:val="252"/>
        </w:trPr>
        <w:tc>
          <w:tcPr>
            <w:tcW w:w="4663" w:type="dxa"/>
            <w:shd w:val="clear" w:color="auto" w:fill="FFFFFF"/>
            <w:tcMar>
              <w:top w:w="0" w:type="dxa"/>
              <w:left w:w="0" w:type="dxa"/>
              <w:bottom w:w="0" w:type="dxa"/>
              <w:right w:w="0" w:type="dxa"/>
            </w:tcMar>
          </w:tcPr>
          <w:p w14:paraId="5C5BDE8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proofErr w:type="spellStart"/>
            <w:r w:rsidRPr="00D13460">
              <w:rPr>
                <w:rFonts w:ascii="Arial Narrow" w:eastAsia="Arial" w:hAnsi="Arial Narrow" w:cs="Times New Roman"/>
                <w:color w:val="000000"/>
                <w:sz w:val="20"/>
                <w:szCs w:val="20"/>
              </w:rPr>
              <w:t>Féminin</w:t>
            </w:r>
            <w:proofErr w:type="spellEnd"/>
          </w:p>
        </w:tc>
        <w:tc>
          <w:tcPr>
            <w:tcW w:w="1141" w:type="dxa"/>
            <w:shd w:val="clear" w:color="auto" w:fill="FFFFFF"/>
            <w:tcMar>
              <w:top w:w="0" w:type="dxa"/>
              <w:left w:w="0" w:type="dxa"/>
              <w:bottom w:w="0" w:type="dxa"/>
              <w:right w:w="0" w:type="dxa"/>
            </w:tcMar>
          </w:tcPr>
          <w:p w14:paraId="4B744BB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w:t>
            </w:r>
          </w:p>
        </w:tc>
        <w:tc>
          <w:tcPr>
            <w:tcW w:w="1888" w:type="dxa"/>
            <w:shd w:val="clear" w:color="auto" w:fill="FFFFFF"/>
            <w:tcMar>
              <w:top w:w="0" w:type="dxa"/>
              <w:left w:w="0" w:type="dxa"/>
              <w:bottom w:w="0" w:type="dxa"/>
              <w:right w:w="0" w:type="dxa"/>
            </w:tcMar>
          </w:tcPr>
          <w:p w14:paraId="478881B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w:t>
            </w:r>
          </w:p>
        </w:tc>
        <w:tc>
          <w:tcPr>
            <w:tcW w:w="1607" w:type="dxa"/>
            <w:shd w:val="clear" w:color="auto" w:fill="FFFFFF"/>
            <w:tcMar>
              <w:top w:w="0" w:type="dxa"/>
              <w:left w:w="0" w:type="dxa"/>
              <w:bottom w:w="0" w:type="dxa"/>
              <w:right w:w="0" w:type="dxa"/>
            </w:tcMar>
          </w:tcPr>
          <w:p w14:paraId="5AE44C9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r>
      <w:tr w:rsidR="00D13460" w:rsidRPr="00D13460" w14:paraId="7C30E093" w14:textId="77777777" w:rsidTr="00777483">
        <w:trPr>
          <w:trHeight w:val="186"/>
        </w:trPr>
        <w:tc>
          <w:tcPr>
            <w:tcW w:w="4663" w:type="dxa"/>
            <w:shd w:val="clear" w:color="auto" w:fill="FFFFFF"/>
            <w:tcMar>
              <w:top w:w="0" w:type="dxa"/>
              <w:left w:w="0" w:type="dxa"/>
              <w:bottom w:w="0" w:type="dxa"/>
              <w:right w:w="0" w:type="dxa"/>
            </w:tcMar>
          </w:tcPr>
          <w:p w14:paraId="42B1579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proofErr w:type="spellStart"/>
            <w:r w:rsidRPr="00D13460">
              <w:rPr>
                <w:rFonts w:ascii="Arial Narrow" w:eastAsia="Arial" w:hAnsi="Arial Narrow" w:cs="Times New Roman"/>
                <w:color w:val="000000"/>
                <w:sz w:val="20"/>
                <w:szCs w:val="20"/>
              </w:rPr>
              <w:t>Masculin</w:t>
            </w:r>
            <w:proofErr w:type="spellEnd"/>
          </w:p>
        </w:tc>
        <w:tc>
          <w:tcPr>
            <w:tcW w:w="1141" w:type="dxa"/>
            <w:shd w:val="clear" w:color="auto" w:fill="FFFFFF"/>
            <w:tcMar>
              <w:top w:w="0" w:type="dxa"/>
              <w:left w:w="0" w:type="dxa"/>
              <w:bottom w:w="0" w:type="dxa"/>
              <w:right w:w="0" w:type="dxa"/>
            </w:tcMar>
          </w:tcPr>
          <w:p w14:paraId="287B171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1.26</w:t>
            </w:r>
          </w:p>
        </w:tc>
        <w:tc>
          <w:tcPr>
            <w:tcW w:w="1888" w:type="dxa"/>
            <w:shd w:val="clear" w:color="auto" w:fill="FFFFFF"/>
            <w:tcMar>
              <w:top w:w="0" w:type="dxa"/>
              <w:left w:w="0" w:type="dxa"/>
              <w:bottom w:w="0" w:type="dxa"/>
              <w:right w:w="0" w:type="dxa"/>
            </w:tcMar>
          </w:tcPr>
          <w:p w14:paraId="1531031B"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0.74, 2.18</w:t>
            </w:r>
          </w:p>
        </w:tc>
        <w:tc>
          <w:tcPr>
            <w:tcW w:w="1607" w:type="dxa"/>
            <w:shd w:val="clear" w:color="auto" w:fill="FFFFFF"/>
            <w:tcMar>
              <w:top w:w="0" w:type="dxa"/>
              <w:left w:w="0" w:type="dxa"/>
              <w:bottom w:w="0" w:type="dxa"/>
              <w:right w:w="0" w:type="dxa"/>
            </w:tcMar>
          </w:tcPr>
          <w:p w14:paraId="1450D61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0.4</w:t>
            </w:r>
          </w:p>
        </w:tc>
      </w:tr>
      <w:tr w:rsidR="00D13460" w:rsidRPr="00D13460" w14:paraId="59610F5B" w14:textId="77777777" w:rsidTr="00777483">
        <w:trPr>
          <w:trHeight w:val="275"/>
        </w:trPr>
        <w:tc>
          <w:tcPr>
            <w:tcW w:w="4663" w:type="dxa"/>
            <w:shd w:val="clear" w:color="auto" w:fill="FFFFFF"/>
            <w:tcMar>
              <w:top w:w="0" w:type="dxa"/>
              <w:left w:w="0" w:type="dxa"/>
              <w:bottom w:w="0" w:type="dxa"/>
              <w:right w:w="0" w:type="dxa"/>
            </w:tcMar>
          </w:tcPr>
          <w:p w14:paraId="7A24738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b/>
                <w:bCs/>
                <w:sz w:val="20"/>
                <w:szCs w:val="20"/>
              </w:rPr>
            </w:pPr>
            <w:proofErr w:type="spellStart"/>
            <w:r w:rsidRPr="00D13460">
              <w:rPr>
                <w:rFonts w:ascii="Arial Narrow" w:eastAsia="Arial" w:hAnsi="Arial Narrow" w:cs="Times New Roman"/>
                <w:b/>
                <w:bCs/>
                <w:color w:val="000000"/>
                <w:sz w:val="20"/>
                <w:szCs w:val="20"/>
              </w:rPr>
              <w:t>Régions</w:t>
            </w:r>
            <w:proofErr w:type="spellEnd"/>
          </w:p>
        </w:tc>
        <w:tc>
          <w:tcPr>
            <w:tcW w:w="1141" w:type="dxa"/>
            <w:shd w:val="clear" w:color="auto" w:fill="FFFFFF"/>
            <w:tcMar>
              <w:top w:w="0" w:type="dxa"/>
              <w:left w:w="0" w:type="dxa"/>
              <w:bottom w:w="0" w:type="dxa"/>
              <w:right w:w="0" w:type="dxa"/>
            </w:tcMar>
          </w:tcPr>
          <w:p w14:paraId="6370829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888" w:type="dxa"/>
            <w:shd w:val="clear" w:color="auto" w:fill="FFFFFF"/>
            <w:tcMar>
              <w:top w:w="0" w:type="dxa"/>
              <w:left w:w="0" w:type="dxa"/>
              <w:bottom w:w="0" w:type="dxa"/>
              <w:right w:w="0" w:type="dxa"/>
            </w:tcMar>
          </w:tcPr>
          <w:p w14:paraId="6E4DD90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607" w:type="dxa"/>
            <w:shd w:val="clear" w:color="auto" w:fill="FFFFFF"/>
            <w:tcMar>
              <w:top w:w="0" w:type="dxa"/>
              <w:left w:w="0" w:type="dxa"/>
              <w:bottom w:w="0" w:type="dxa"/>
              <w:right w:w="0" w:type="dxa"/>
            </w:tcMar>
          </w:tcPr>
          <w:p w14:paraId="3B8ADD85"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0.003</w:t>
            </w:r>
          </w:p>
        </w:tc>
      </w:tr>
      <w:tr w:rsidR="00D13460" w:rsidRPr="00D13460" w14:paraId="5AB53B0B" w14:textId="77777777" w:rsidTr="00777483">
        <w:trPr>
          <w:trHeight w:val="224"/>
        </w:trPr>
        <w:tc>
          <w:tcPr>
            <w:tcW w:w="4663" w:type="dxa"/>
            <w:shd w:val="clear" w:color="auto" w:fill="FFFFFF"/>
            <w:tcMar>
              <w:top w:w="0" w:type="dxa"/>
              <w:left w:w="0" w:type="dxa"/>
              <w:bottom w:w="0" w:type="dxa"/>
              <w:right w:w="0" w:type="dxa"/>
            </w:tcMar>
          </w:tcPr>
          <w:p w14:paraId="7B97004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proofErr w:type="spellStart"/>
            <w:r w:rsidRPr="00D13460">
              <w:rPr>
                <w:rFonts w:ascii="Arial Narrow" w:eastAsia="Arial" w:hAnsi="Arial Narrow" w:cs="Times New Roman"/>
                <w:color w:val="000000"/>
                <w:sz w:val="20"/>
                <w:szCs w:val="20"/>
              </w:rPr>
              <w:t>Autres</w:t>
            </w:r>
            <w:proofErr w:type="spellEnd"/>
          </w:p>
        </w:tc>
        <w:tc>
          <w:tcPr>
            <w:tcW w:w="1141" w:type="dxa"/>
            <w:shd w:val="clear" w:color="auto" w:fill="FFFFFF"/>
            <w:tcMar>
              <w:top w:w="0" w:type="dxa"/>
              <w:left w:w="0" w:type="dxa"/>
              <w:bottom w:w="0" w:type="dxa"/>
              <w:right w:w="0" w:type="dxa"/>
            </w:tcMar>
          </w:tcPr>
          <w:p w14:paraId="6AF39FE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w:t>
            </w:r>
          </w:p>
        </w:tc>
        <w:tc>
          <w:tcPr>
            <w:tcW w:w="1888" w:type="dxa"/>
            <w:shd w:val="clear" w:color="auto" w:fill="FFFFFF"/>
            <w:tcMar>
              <w:top w:w="0" w:type="dxa"/>
              <w:left w:w="0" w:type="dxa"/>
              <w:bottom w:w="0" w:type="dxa"/>
              <w:right w:w="0" w:type="dxa"/>
            </w:tcMar>
          </w:tcPr>
          <w:p w14:paraId="1F4A4C9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w:t>
            </w:r>
          </w:p>
        </w:tc>
        <w:tc>
          <w:tcPr>
            <w:tcW w:w="1607" w:type="dxa"/>
            <w:shd w:val="clear" w:color="auto" w:fill="FFFFFF"/>
            <w:tcMar>
              <w:top w:w="0" w:type="dxa"/>
              <w:left w:w="0" w:type="dxa"/>
              <w:bottom w:w="0" w:type="dxa"/>
              <w:right w:w="0" w:type="dxa"/>
            </w:tcMar>
          </w:tcPr>
          <w:p w14:paraId="0069177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r>
      <w:tr w:rsidR="00D13460" w:rsidRPr="00D13460" w14:paraId="5F995BE2" w14:textId="77777777" w:rsidTr="00777483">
        <w:trPr>
          <w:trHeight w:val="300"/>
        </w:trPr>
        <w:tc>
          <w:tcPr>
            <w:tcW w:w="4663" w:type="dxa"/>
            <w:shd w:val="clear" w:color="auto" w:fill="FFFFFF"/>
            <w:tcMar>
              <w:top w:w="0" w:type="dxa"/>
              <w:left w:w="0" w:type="dxa"/>
              <w:bottom w:w="0" w:type="dxa"/>
              <w:right w:w="0" w:type="dxa"/>
            </w:tcMar>
          </w:tcPr>
          <w:p w14:paraId="75A6EB8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Centre</w:t>
            </w:r>
          </w:p>
        </w:tc>
        <w:tc>
          <w:tcPr>
            <w:tcW w:w="1141" w:type="dxa"/>
            <w:shd w:val="clear" w:color="auto" w:fill="FFFFFF"/>
            <w:tcMar>
              <w:top w:w="0" w:type="dxa"/>
              <w:left w:w="0" w:type="dxa"/>
              <w:bottom w:w="0" w:type="dxa"/>
              <w:right w:w="0" w:type="dxa"/>
            </w:tcMar>
          </w:tcPr>
          <w:p w14:paraId="1FA6ED7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1.67</w:t>
            </w:r>
          </w:p>
        </w:tc>
        <w:tc>
          <w:tcPr>
            <w:tcW w:w="1888" w:type="dxa"/>
            <w:shd w:val="clear" w:color="auto" w:fill="FFFFFF"/>
            <w:tcMar>
              <w:top w:w="0" w:type="dxa"/>
              <w:left w:w="0" w:type="dxa"/>
              <w:bottom w:w="0" w:type="dxa"/>
              <w:right w:w="0" w:type="dxa"/>
            </w:tcMar>
          </w:tcPr>
          <w:p w14:paraId="61F1C50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1.03, 2.72</w:t>
            </w:r>
          </w:p>
        </w:tc>
        <w:tc>
          <w:tcPr>
            <w:tcW w:w="1607" w:type="dxa"/>
            <w:shd w:val="clear" w:color="auto" w:fill="FFFFFF"/>
            <w:tcMar>
              <w:top w:w="0" w:type="dxa"/>
              <w:left w:w="0" w:type="dxa"/>
              <w:bottom w:w="0" w:type="dxa"/>
              <w:right w:w="0" w:type="dxa"/>
            </w:tcMar>
          </w:tcPr>
          <w:p w14:paraId="1320779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0.038</w:t>
            </w:r>
          </w:p>
        </w:tc>
      </w:tr>
      <w:tr w:rsidR="00D13460" w:rsidRPr="00D13460" w14:paraId="7A269147" w14:textId="77777777" w:rsidTr="00777483">
        <w:trPr>
          <w:trHeight w:val="522"/>
        </w:trPr>
        <w:tc>
          <w:tcPr>
            <w:tcW w:w="4663" w:type="dxa"/>
            <w:shd w:val="clear" w:color="auto" w:fill="FFFFFF"/>
            <w:tcMar>
              <w:top w:w="0" w:type="dxa"/>
              <w:left w:w="0" w:type="dxa"/>
              <w:bottom w:w="0" w:type="dxa"/>
              <w:right w:w="0" w:type="dxa"/>
            </w:tcMar>
          </w:tcPr>
          <w:p w14:paraId="1966E07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Hauts-</w:t>
            </w:r>
            <w:proofErr w:type="spellStart"/>
            <w:r w:rsidRPr="00D13460">
              <w:rPr>
                <w:rFonts w:ascii="Arial Narrow" w:eastAsia="Arial" w:hAnsi="Arial Narrow" w:cs="Times New Roman"/>
                <w:color w:val="000000"/>
                <w:sz w:val="20"/>
                <w:szCs w:val="20"/>
              </w:rPr>
              <w:t>Bassins</w:t>
            </w:r>
            <w:proofErr w:type="spellEnd"/>
          </w:p>
        </w:tc>
        <w:tc>
          <w:tcPr>
            <w:tcW w:w="1141" w:type="dxa"/>
            <w:shd w:val="clear" w:color="auto" w:fill="FFFFFF"/>
            <w:tcMar>
              <w:top w:w="0" w:type="dxa"/>
              <w:left w:w="0" w:type="dxa"/>
              <w:bottom w:w="0" w:type="dxa"/>
              <w:right w:w="0" w:type="dxa"/>
            </w:tcMar>
          </w:tcPr>
          <w:p w14:paraId="1ABF112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0.61</w:t>
            </w:r>
          </w:p>
        </w:tc>
        <w:tc>
          <w:tcPr>
            <w:tcW w:w="1888" w:type="dxa"/>
            <w:shd w:val="clear" w:color="auto" w:fill="FFFFFF"/>
            <w:tcMar>
              <w:top w:w="0" w:type="dxa"/>
              <w:left w:w="0" w:type="dxa"/>
              <w:bottom w:w="0" w:type="dxa"/>
              <w:right w:w="0" w:type="dxa"/>
            </w:tcMar>
          </w:tcPr>
          <w:p w14:paraId="2F00B9D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0.32, 1.15</w:t>
            </w:r>
          </w:p>
        </w:tc>
        <w:tc>
          <w:tcPr>
            <w:tcW w:w="1607" w:type="dxa"/>
            <w:shd w:val="clear" w:color="auto" w:fill="FFFFFF"/>
            <w:tcMar>
              <w:top w:w="0" w:type="dxa"/>
              <w:left w:w="0" w:type="dxa"/>
              <w:bottom w:w="0" w:type="dxa"/>
              <w:right w:w="0" w:type="dxa"/>
            </w:tcMar>
          </w:tcPr>
          <w:p w14:paraId="49E53B7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0.13</w:t>
            </w:r>
          </w:p>
        </w:tc>
      </w:tr>
      <w:tr w:rsidR="00D13460" w:rsidRPr="00D13460" w14:paraId="4C9B55AC" w14:textId="77777777" w:rsidTr="00777483">
        <w:trPr>
          <w:trHeight w:val="128"/>
        </w:trPr>
        <w:tc>
          <w:tcPr>
            <w:tcW w:w="4663" w:type="dxa"/>
            <w:shd w:val="clear" w:color="auto" w:fill="FFFFFF"/>
            <w:tcMar>
              <w:top w:w="0" w:type="dxa"/>
              <w:left w:w="0" w:type="dxa"/>
              <w:bottom w:w="0" w:type="dxa"/>
              <w:right w:w="0" w:type="dxa"/>
            </w:tcMar>
          </w:tcPr>
          <w:p w14:paraId="34A03D3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 xml:space="preserve">Type de </w:t>
            </w:r>
            <w:proofErr w:type="spellStart"/>
            <w:r w:rsidRPr="00D13460">
              <w:rPr>
                <w:rFonts w:ascii="Arial Narrow" w:eastAsia="Arial" w:hAnsi="Arial Narrow" w:cs="Times New Roman"/>
                <w:b/>
                <w:bCs/>
                <w:color w:val="000000"/>
                <w:sz w:val="20"/>
                <w:szCs w:val="20"/>
              </w:rPr>
              <w:t>centre</w:t>
            </w:r>
            <w:proofErr w:type="spellEnd"/>
          </w:p>
        </w:tc>
        <w:tc>
          <w:tcPr>
            <w:tcW w:w="1141" w:type="dxa"/>
            <w:shd w:val="clear" w:color="auto" w:fill="FFFFFF"/>
            <w:tcMar>
              <w:top w:w="0" w:type="dxa"/>
              <w:left w:w="0" w:type="dxa"/>
              <w:bottom w:w="0" w:type="dxa"/>
              <w:right w:w="0" w:type="dxa"/>
            </w:tcMar>
          </w:tcPr>
          <w:p w14:paraId="02593A8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888" w:type="dxa"/>
            <w:shd w:val="clear" w:color="auto" w:fill="FFFFFF"/>
            <w:tcMar>
              <w:top w:w="0" w:type="dxa"/>
              <w:left w:w="0" w:type="dxa"/>
              <w:bottom w:w="0" w:type="dxa"/>
              <w:right w:w="0" w:type="dxa"/>
            </w:tcMar>
          </w:tcPr>
          <w:p w14:paraId="342714D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607" w:type="dxa"/>
            <w:shd w:val="clear" w:color="auto" w:fill="FFFFFF"/>
            <w:tcMar>
              <w:top w:w="0" w:type="dxa"/>
              <w:left w:w="0" w:type="dxa"/>
              <w:bottom w:w="0" w:type="dxa"/>
              <w:right w:w="0" w:type="dxa"/>
            </w:tcMar>
          </w:tcPr>
          <w:p w14:paraId="5A56BCF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0.015</w:t>
            </w:r>
          </w:p>
        </w:tc>
      </w:tr>
      <w:tr w:rsidR="00D13460" w:rsidRPr="00D13460" w14:paraId="704FD784" w14:textId="77777777" w:rsidTr="00777483">
        <w:trPr>
          <w:trHeight w:val="204"/>
        </w:trPr>
        <w:tc>
          <w:tcPr>
            <w:tcW w:w="4663" w:type="dxa"/>
            <w:shd w:val="clear" w:color="auto" w:fill="FFFFFF"/>
            <w:tcMar>
              <w:top w:w="0" w:type="dxa"/>
              <w:left w:w="0" w:type="dxa"/>
              <w:bottom w:w="0" w:type="dxa"/>
              <w:right w:w="0" w:type="dxa"/>
            </w:tcMar>
          </w:tcPr>
          <w:p w14:paraId="7E32857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CHR/CHU</w:t>
            </w:r>
          </w:p>
        </w:tc>
        <w:tc>
          <w:tcPr>
            <w:tcW w:w="1141" w:type="dxa"/>
            <w:shd w:val="clear" w:color="auto" w:fill="FFFFFF"/>
            <w:tcMar>
              <w:top w:w="0" w:type="dxa"/>
              <w:left w:w="0" w:type="dxa"/>
              <w:bottom w:w="0" w:type="dxa"/>
              <w:right w:w="0" w:type="dxa"/>
            </w:tcMar>
          </w:tcPr>
          <w:p w14:paraId="733637B5"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w:t>
            </w:r>
          </w:p>
        </w:tc>
        <w:tc>
          <w:tcPr>
            <w:tcW w:w="1888" w:type="dxa"/>
            <w:shd w:val="clear" w:color="auto" w:fill="FFFFFF"/>
            <w:tcMar>
              <w:top w:w="0" w:type="dxa"/>
              <w:left w:w="0" w:type="dxa"/>
              <w:bottom w:w="0" w:type="dxa"/>
              <w:right w:w="0" w:type="dxa"/>
            </w:tcMar>
          </w:tcPr>
          <w:p w14:paraId="02041E1B"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w:t>
            </w:r>
          </w:p>
        </w:tc>
        <w:tc>
          <w:tcPr>
            <w:tcW w:w="1607" w:type="dxa"/>
            <w:shd w:val="clear" w:color="auto" w:fill="FFFFFF"/>
            <w:tcMar>
              <w:top w:w="0" w:type="dxa"/>
              <w:left w:w="0" w:type="dxa"/>
              <w:bottom w:w="0" w:type="dxa"/>
              <w:right w:w="0" w:type="dxa"/>
            </w:tcMar>
          </w:tcPr>
          <w:p w14:paraId="7303B55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r>
      <w:tr w:rsidR="00D13460" w:rsidRPr="00D13460" w14:paraId="488E8B48" w14:textId="77777777" w:rsidTr="00777483">
        <w:trPr>
          <w:trHeight w:val="152"/>
        </w:trPr>
        <w:tc>
          <w:tcPr>
            <w:tcW w:w="4663" w:type="dxa"/>
            <w:shd w:val="clear" w:color="auto" w:fill="FFFFFF"/>
            <w:tcMar>
              <w:top w:w="0" w:type="dxa"/>
              <w:left w:w="0" w:type="dxa"/>
              <w:bottom w:w="0" w:type="dxa"/>
              <w:right w:w="0" w:type="dxa"/>
            </w:tcMar>
          </w:tcPr>
          <w:p w14:paraId="420BD3DF"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CSPS</w:t>
            </w:r>
          </w:p>
        </w:tc>
        <w:tc>
          <w:tcPr>
            <w:tcW w:w="1141" w:type="dxa"/>
            <w:shd w:val="clear" w:color="auto" w:fill="FFFFFF"/>
            <w:tcMar>
              <w:top w:w="0" w:type="dxa"/>
              <w:left w:w="0" w:type="dxa"/>
              <w:bottom w:w="0" w:type="dxa"/>
              <w:right w:w="0" w:type="dxa"/>
            </w:tcMar>
          </w:tcPr>
          <w:p w14:paraId="5ACBE1A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0.42</w:t>
            </w:r>
          </w:p>
        </w:tc>
        <w:tc>
          <w:tcPr>
            <w:tcW w:w="1888" w:type="dxa"/>
            <w:shd w:val="clear" w:color="auto" w:fill="FFFFFF"/>
            <w:tcMar>
              <w:top w:w="0" w:type="dxa"/>
              <w:left w:w="0" w:type="dxa"/>
              <w:bottom w:w="0" w:type="dxa"/>
              <w:right w:w="0" w:type="dxa"/>
            </w:tcMar>
          </w:tcPr>
          <w:p w14:paraId="5A9CED7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0.17, 0.98</w:t>
            </w:r>
          </w:p>
        </w:tc>
        <w:tc>
          <w:tcPr>
            <w:tcW w:w="1607" w:type="dxa"/>
            <w:shd w:val="clear" w:color="auto" w:fill="FFFFFF"/>
            <w:tcMar>
              <w:top w:w="0" w:type="dxa"/>
              <w:left w:w="0" w:type="dxa"/>
              <w:bottom w:w="0" w:type="dxa"/>
              <w:right w:w="0" w:type="dxa"/>
            </w:tcMar>
          </w:tcPr>
          <w:p w14:paraId="514E6BE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0.050</w:t>
            </w:r>
          </w:p>
        </w:tc>
      </w:tr>
      <w:tr w:rsidR="00D13460" w:rsidRPr="00D13460" w14:paraId="0AB9F406" w14:textId="77777777" w:rsidTr="00777483">
        <w:trPr>
          <w:trHeight w:val="228"/>
        </w:trPr>
        <w:tc>
          <w:tcPr>
            <w:tcW w:w="4663" w:type="dxa"/>
            <w:shd w:val="clear" w:color="auto" w:fill="FFFFFF"/>
            <w:tcMar>
              <w:top w:w="0" w:type="dxa"/>
              <w:left w:w="0" w:type="dxa"/>
              <w:bottom w:w="0" w:type="dxa"/>
              <w:right w:w="0" w:type="dxa"/>
            </w:tcMar>
          </w:tcPr>
          <w:p w14:paraId="1F82277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CMA</w:t>
            </w:r>
          </w:p>
        </w:tc>
        <w:tc>
          <w:tcPr>
            <w:tcW w:w="1141" w:type="dxa"/>
            <w:shd w:val="clear" w:color="auto" w:fill="FFFFFF"/>
            <w:tcMar>
              <w:top w:w="0" w:type="dxa"/>
              <w:left w:w="0" w:type="dxa"/>
              <w:bottom w:w="0" w:type="dxa"/>
              <w:right w:w="0" w:type="dxa"/>
            </w:tcMar>
          </w:tcPr>
          <w:p w14:paraId="5F31DA8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0.67</w:t>
            </w:r>
          </w:p>
        </w:tc>
        <w:tc>
          <w:tcPr>
            <w:tcW w:w="1888" w:type="dxa"/>
            <w:shd w:val="clear" w:color="auto" w:fill="FFFFFF"/>
            <w:tcMar>
              <w:top w:w="0" w:type="dxa"/>
              <w:left w:w="0" w:type="dxa"/>
              <w:bottom w:w="0" w:type="dxa"/>
              <w:right w:w="0" w:type="dxa"/>
            </w:tcMar>
          </w:tcPr>
          <w:p w14:paraId="169A1B8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0.33, 1.34</w:t>
            </w:r>
          </w:p>
        </w:tc>
        <w:tc>
          <w:tcPr>
            <w:tcW w:w="1607" w:type="dxa"/>
            <w:shd w:val="clear" w:color="auto" w:fill="FFFFFF"/>
            <w:tcMar>
              <w:top w:w="0" w:type="dxa"/>
              <w:left w:w="0" w:type="dxa"/>
              <w:bottom w:w="0" w:type="dxa"/>
              <w:right w:w="0" w:type="dxa"/>
            </w:tcMar>
          </w:tcPr>
          <w:p w14:paraId="311EEEBF"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0.3</w:t>
            </w:r>
          </w:p>
        </w:tc>
      </w:tr>
      <w:tr w:rsidR="00D13460" w:rsidRPr="00D13460" w14:paraId="4429BFB6" w14:textId="77777777" w:rsidTr="00777483">
        <w:trPr>
          <w:trHeight w:val="522"/>
        </w:trPr>
        <w:tc>
          <w:tcPr>
            <w:tcW w:w="4663" w:type="dxa"/>
            <w:shd w:val="clear" w:color="auto" w:fill="FFFFFF"/>
            <w:tcMar>
              <w:top w:w="0" w:type="dxa"/>
              <w:left w:w="0" w:type="dxa"/>
              <w:bottom w:w="0" w:type="dxa"/>
              <w:right w:w="0" w:type="dxa"/>
            </w:tcMar>
          </w:tcPr>
          <w:p w14:paraId="1AD34D7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 xml:space="preserve">Structures </w:t>
            </w:r>
            <w:proofErr w:type="spellStart"/>
            <w:r w:rsidRPr="00D13460">
              <w:rPr>
                <w:rFonts w:ascii="Arial Narrow" w:eastAsia="Arial" w:hAnsi="Arial Narrow" w:cs="Times New Roman"/>
                <w:color w:val="000000"/>
                <w:sz w:val="20"/>
                <w:szCs w:val="20"/>
              </w:rPr>
              <w:t>privées</w:t>
            </w:r>
            <w:proofErr w:type="spellEnd"/>
          </w:p>
        </w:tc>
        <w:tc>
          <w:tcPr>
            <w:tcW w:w="1141" w:type="dxa"/>
            <w:shd w:val="clear" w:color="auto" w:fill="FFFFFF"/>
            <w:tcMar>
              <w:top w:w="0" w:type="dxa"/>
              <w:left w:w="0" w:type="dxa"/>
              <w:bottom w:w="0" w:type="dxa"/>
              <w:right w:w="0" w:type="dxa"/>
            </w:tcMar>
          </w:tcPr>
          <w:p w14:paraId="374FAC6B"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1.66</w:t>
            </w:r>
          </w:p>
        </w:tc>
        <w:tc>
          <w:tcPr>
            <w:tcW w:w="1888" w:type="dxa"/>
            <w:shd w:val="clear" w:color="auto" w:fill="FFFFFF"/>
            <w:tcMar>
              <w:top w:w="0" w:type="dxa"/>
              <w:left w:w="0" w:type="dxa"/>
              <w:bottom w:w="0" w:type="dxa"/>
              <w:right w:w="0" w:type="dxa"/>
            </w:tcMar>
          </w:tcPr>
          <w:p w14:paraId="069644B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0.88, 3.13</w:t>
            </w:r>
          </w:p>
        </w:tc>
        <w:tc>
          <w:tcPr>
            <w:tcW w:w="1607" w:type="dxa"/>
            <w:shd w:val="clear" w:color="auto" w:fill="FFFFFF"/>
            <w:tcMar>
              <w:top w:w="0" w:type="dxa"/>
              <w:left w:w="0" w:type="dxa"/>
              <w:bottom w:w="0" w:type="dxa"/>
              <w:right w:w="0" w:type="dxa"/>
            </w:tcMar>
          </w:tcPr>
          <w:p w14:paraId="4DD6CAAA"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0.12</w:t>
            </w:r>
          </w:p>
        </w:tc>
      </w:tr>
      <w:tr w:rsidR="00D13460" w:rsidRPr="00D13460" w14:paraId="0E40B806" w14:textId="77777777" w:rsidTr="00777483">
        <w:trPr>
          <w:trHeight w:val="198"/>
        </w:trPr>
        <w:tc>
          <w:tcPr>
            <w:tcW w:w="4663" w:type="dxa"/>
            <w:shd w:val="clear" w:color="auto" w:fill="FFFFFF"/>
            <w:tcMar>
              <w:top w:w="0" w:type="dxa"/>
              <w:left w:w="0" w:type="dxa"/>
              <w:bottom w:w="0" w:type="dxa"/>
              <w:right w:w="0" w:type="dxa"/>
            </w:tcMar>
          </w:tcPr>
          <w:p w14:paraId="10AC8EC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b/>
                <w:bCs/>
                <w:sz w:val="20"/>
                <w:szCs w:val="20"/>
              </w:rPr>
            </w:pPr>
            <w:proofErr w:type="spellStart"/>
            <w:r w:rsidRPr="00D13460">
              <w:rPr>
                <w:rFonts w:ascii="Arial Narrow" w:eastAsia="Arial" w:hAnsi="Arial Narrow" w:cs="Times New Roman"/>
                <w:b/>
                <w:bCs/>
                <w:color w:val="000000"/>
                <w:sz w:val="20"/>
                <w:szCs w:val="20"/>
              </w:rPr>
              <w:t>Ancienneté</w:t>
            </w:r>
            <w:proofErr w:type="spellEnd"/>
            <w:r w:rsidRPr="00D13460">
              <w:rPr>
                <w:rFonts w:ascii="Arial Narrow" w:eastAsia="Arial" w:hAnsi="Arial Narrow" w:cs="Times New Roman"/>
                <w:b/>
                <w:bCs/>
                <w:color w:val="000000"/>
                <w:sz w:val="20"/>
                <w:szCs w:val="20"/>
              </w:rPr>
              <w:t xml:space="preserve"> (</w:t>
            </w:r>
            <w:proofErr w:type="spellStart"/>
            <w:r w:rsidRPr="00D13460">
              <w:rPr>
                <w:rFonts w:ascii="Arial Narrow" w:eastAsia="Arial" w:hAnsi="Arial Narrow" w:cs="Times New Roman"/>
                <w:b/>
                <w:bCs/>
                <w:color w:val="000000"/>
                <w:sz w:val="20"/>
                <w:szCs w:val="20"/>
              </w:rPr>
              <w:t>années</w:t>
            </w:r>
            <w:proofErr w:type="spellEnd"/>
            <w:r w:rsidRPr="00D13460">
              <w:rPr>
                <w:rFonts w:ascii="Arial Narrow" w:eastAsia="Arial" w:hAnsi="Arial Narrow" w:cs="Times New Roman"/>
                <w:b/>
                <w:bCs/>
                <w:color w:val="000000"/>
                <w:sz w:val="20"/>
                <w:szCs w:val="20"/>
              </w:rPr>
              <w:t>)</w:t>
            </w:r>
          </w:p>
        </w:tc>
        <w:tc>
          <w:tcPr>
            <w:tcW w:w="1141" w:type="dxa"/>
            <w:shd w:val="clear" w:color="auto" w:fill="FFFFFF"/>
            <w:tcMar>
              <w:top w:w="0" w:type="dxa"/>
              <w:left w:w="0" w:type="dxa"/>
              <w:bottom w:w="0" w:type="dxa"/>
              <w:right w:w="0" w:type="dxa"/>
            </w:tcMar>
          </w:tcPr>
          <w:p w14:paraId="46EEEE3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888" w:type="dxa"/>
            <w:shd w:val="clear" w:color="auto" w:fill="FFFFFF"/>
            <w:tcMar>
              <w:top w:w="0" w:type="dxa"/>
              <w:left w:w="0" w:type="dxa"/>
              <w:bottom w:w="0" w:type="dxa"/>
              <w:right w:w="0" w:type="dxa"/>
            </w:tcMar>
          </w:tcPr>
          <w:p w14:paraId="57369AF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607" w:type="dxa"/>
            <w:shd w:val="clear" w:color="auto" w:fill="FFFFFF"/>
            <w:tcMar>
              <w:top w:w="0" w:type="dxa"/>
              <w:left w:w="0" w:type="dxa"/>
              <w:bottom w:w="0" w:type="dxa"/>
              <w:right w:w="0" w:type="dxa"/>
            </w:tcMar>
          </w:tcPr>
          <w:p w14:paraId="64E3B26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b/>
                <w:bCs/>
                <w:sz w:val="20"/>
                <w:szCs w:val="20"/>
              </w:rPr>
            </w:pPr>
            <w:r w:rsidRPr="00D13460">
              <w:rPr>
                <w:rFonts w:ascii="Arial Narrow" w:eastAsia="Arial" w:hAnsi="Arial Narrow" w:cs="Times New Roman"/>
                <w:b/>
                <w:bCs/>
                <w:color w:val="000000"/>
                <w:sz w:val="20"/>
                <w:szCs w:val="20"/>
              </w:rPr>
              <w:t>&lt;0.001</w:t>
            </w:r>
          </w:p>
        </w:tc>
      </w:tr>
      <w:tr w:rsidR="00D13460" w:rsidRPr="00D13460" w14:paraId="470AF17F" w14:textId="77777777" w:rsidTr="00777483">
        <w:trPr>
          <w:trHeight w:val="288"/>
        </w:trPr>
        <w:tc>
          <w:tcPr>
            <w:tcW w:w="4663" w:type="dxa"/>
            <w:shd w:val="clear" w:color="auto" w:fill="FFFFFF"/>
            <w:tcMar>
              <w:top w:w="0" w:type="dxa"/>
              <w:left w:w="0" w:type="dxa"/>
              <w:bottom w:w="0" w:type="dxa"/>
              <w:right w:w="0" w:type="dxa"/>
            </w:tcMar>
          </w:tcPr>
          <w:p w14:paraId="63E0690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[0,2)</w:t>
            </w:r>
          </w:p>
        </w:tc>
        <w:tc>
          <w:tcPr>
            <w:tcW w:w="1141" w:type="dxa"/>
            <w:shd w:val="clear" w:color="auto" w:fill="FFFFFF"/>
            <w:tcMar>
              <w:top w:w="0" w:type="dxa"/>
              <w:left w:w="0" w:type="dxa"/>
              <w:bottom w:w="0" w:type="dxa"/>
              <w:right w:w="0" w:type="dxa"/>
            </w:tcMar>
          </w:tcPr>
          <w:p w14:paraId="332A7A9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w:t>
            </w:r>
          </w:p>
        </w:tc>
        <w:tc>
          <w:tcPr>
            <w:tcW w:w="1888" w:type="dxa"/>
            <w:shd w:val="clear" w:color="auto" w:fill="FFFFFF"/>
            <w:tcMar>
              <w:top w:w="0" w:type="dxa"/>
              <w:left w:w="0" w:type="dxa"/>
              <w:bottom w:w="0" w:type="dxa"/>
              <w:right w:w="0" w:type="dxa"/>
            </w:tcMar>
          </w:tcPr>
          <w:p w14:paraId="7FAD405A"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w:t>
            </w:r>
          </w:p>
        </w:tc>
        <w:tc>
          <w:tcPr>
            <w:tcW w:w="1607" w:type="dxa"/>
            <w:shd w:val="clear" w:color="auto" w:fill="FFFFFF"/>
            <w:tcMar>
              <w:top w:w="0" w:type="dxa"/>
              <w:left w:w="0" w:type="dxa"/>
              <w:bottom w:w="0" w:type="dxa"/>
              <w:right w:w="0" w:type="dxa"/>
            </w:tcMar>
          </w:tcPr>
          <w:p w14:paraId="348AAC90"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r>
      <w:tr w:rsidR="00D13460" w:rsidRPr="00D13460" w14:paraId="6B12FBF0" w14:textId="77777777" w:rsidTr="00777483">
        <w:trPr>
          <w:trHeight w:val="80"/>
        </w:trPr>
        <w:tc>
          <w:tcPr>
            <w:tcW w:w="4663" w:type="dxa"/>
            <w:shd w:val="clear" w:color="auto" w:fill="FFFFFF"/>
            <w:tcMar>
              <w:top w:w="0" w:type="dxa"/>
              <w:left w:w="0" w:type="dxa"/>
              <w:bottom w:w="0" w:type="dxa"/>
              <w:right w:w="0" w:type="dxa"/>
            </w:tcMar>
          </w:tcPr>
          <w:p w14:paraId="09DF5F2B"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[2,4)</w:t>
            </w:r>
          </w:p>
        </w:tc>
        <w:tc>
          <w:tcPr>
            <w:tcW w:w="1141" w:type="dxa"/>
            <w:shd w:val="clear" w:color="auto" w:fill="FFFFFF"/>
            <w:tcMar>
              <w:top w:w="0" w:type="dxa"/>
              <w:left w:w="0" w:type="dxa"/>
              <w:bottom w:w="0" w:type="dxa"/>
              <w:right w:w="0" w:type="dxa"/>
            </w:tcMar>
          </w:tcPr>
          <w:p w14:paraId="5952B9C7"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0.08</w:t>
            </w:r>
          </w:p>
        </w:tc>
        <w:tc>
          <w:tcPr>
            <w:tcW w:w="1888" w:type="dxa"/>
            <w:shd w:val="clear" w:color="auto" w:fill="FFFFFF"/>
            <w:tcMar>
              <w:top w:w="0" w:type="dxa"/>
              <w:left w:w="0" w:type="dxa"/>
              <w:bottom w:w="0" w:type="dxa"/>
              <w:right w:w="0" w:type="dxa"/>
            </w:tcMar>
          </w:tcPr>
          <w:p w14:paraId="55ADFA3B"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0.03, 0.19</w:t>
            </w:r>
          </w:p>
        </w:tc>
        <w:tc>
          <w:tcPr>
            <w:tcW w:w="1607" w:type="dxa"/>
            <w:shd w:val="clear" w:color="auto" w:fill="FFFFFF"/>
            <w:tcMar>
              <w:top w:w="0" w:type="dxa"/>
              <w:left w:w="0" w:type="dxa"/>
              <w:bottom w:w="0" w:type="dxa"/>
              <w:right w:w="0" w:type="dxa"/>
            </w:tcMar>
          </w:tcPr>
          <w:p w14:paraId="0E659BB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&lt;0.001</w:t>
            </w:r>
          </w:p>
        </w:tc>
      </w:tr>
      <w:tr w:rsidR="00D13460" w:rsidRPr="00D13460" w14:paraId="497CBCA3" w14:textId="77777777" w:rsidTr="00777483">
        <w:trPr>
          <w:trHeight w:val="170"/>
        </w:trPr>
        <w:tc>
          <w:tcPr>
            <w:tcW w:w="4663" w:type="dxa"/>
            <w:shd w:val="clear" w:color="auto" w:fill="FFFFFF"/>
            <w:tcMar>
              <w:top w:w="0" w:type="dxa"/>
              <w:left w:w="0" w:type="dxa"/>
              <w:bottom w:w="0" w:type="dxa"/>
              <w:right w:w="0" w:type="dxa"/>
            </w:tcMar>
          </w:tcPr>
          <w:p w14:paraId="52582531"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[4,9)</w:t>
            </w:r>
          </w:p>
        </w:tc>
        <w:tc>
          <w:tcPr>
            <w:tcW w:w="1141" w:type="dxa"/>
            <w:shd w:val="clear" w:color="auto" w:fill="FFFFFF"/>
            <w:tcMar>
              <w:top w:w="0" w:type="dxa"/>
              <w:left w:w="0" w:type="dxa"/>
              <w:bottom w:w="0" w:type="dxa"/>
              <w:right w:w="0" w:type="dxa"/>
            </w:tcMar>
          </w:tcPr>
          <w:p w14:paraId="1A979E2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0.15</w:t>
            </w:r>
          </w:p>
        </w:tc>
        <w:tc>
          <w:tcPr>
            <w:tcW w:w="1888" w:type="dxa"/>
            <w:shd w:val="clear" w:color="auto" w:fill="FFFFFF"/>
            <w:tcMar>
              <w:top w:w="0" w:type="dxa"/>
              <w:left w:w="0" w:type="dxa"/>
              <w:bottom w:w="0" w:type="dxa"/>
              <w:right w:w="0" w:type="dxa"/>
            </w:tcMar>
          </w:tcPr>
          <w:p w14:paraId="459AC702"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0.06, 0.33</w:t>
            </w:r>
          </w:p>
        </w:tc>
        <w:tc>
          <w:tcPr>
            <w:tcW w:w="1607" w:type="dxa"/>
            <w:shd w:val="clear" w:color="auto" w:fill="FFFFFF"/>
            <w:tcMar>
              <w:top w:w="0" w:type="dxa"/>
              <w:left w:w="0" w:type="dxa"/>
              <w:bottom w:w="0" w:type="dxa"/>
              <w:right w:w="0" w:type="dxa"/>
            </w:tcMar>
          </w:tcPr>
          <w:p w14:paraId="5DD1823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&lt;0.001</w:t>
            </w:r>
          </w:p>
        </w:tc>
      </w:tr>
      <w:tr w:rsidR="00D13460" w:rsidRPr="00D13460" w14:paraId="49E091B2" w14:textId="77777777" w:rsidTr="00777483">
        <w:trPr>
          <w:trHeight w:val="246"/>
        </w:trPr>
        <w:tc>
          <w:tcPr>
            <w:tcW w:w="4663" w:type="dxa"/>
            <w:shd w:val="clear" w:color="auto" w:fill="FFFFFF"/>
            <w:tcMar>
              <w:top w:w="0" w:type="dxa"/>
              <w:left w:w="0" w:type="dxa"/>
              <w:bottom w:w="0" w:type="dxa"/>
              <w:right w:w="0" w:type="dxa"/>
            </w:tcMar>
          </w:tcPr>
          <w:p w14:paraId="515D987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[9,38]</w:t>
            </w:r>
          </w:p>
        </w:tc>
        <w:tc>
          <w:tcPr>
            <w:tcW w:w="1141" w:type="dxa"/>
            <w:shd w:val="clear" w:color="auto" w:fill="FFFFFF"/>
            <w:tcMar>
              <w:top w:w="0" w:type="dxa"/>
              <w:left w:w="0" w:type="dxa"/>
              <w:bottom w:w="0" w:type="dxa"/>
              <w:right w:w="0" w:type="dxa"/>
            </w:tcMar>
          </w:tcPr>
          <w:p w14:paraId="0EAE4873"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0.47</w:t>
            </w:r>
          </w:p>
        </w:tc>
        <w:tc>
          <w:tcPr>
            <w:tcW w:w="1888" w:type="dxa"/>
            <w:shd w:val="clear" w:color="auto" w:fill="FFFFFF"/>
            <w:tcMar>
              <w:top w:w="0" w:type="dxa"/>
              <w:left w:w="0" w:type="dxa"/>
              <w:bottom w:w="0" w:type="dxa"/>
              <w:right w:w="0" w:type="dxa"/>
            </w:tcMar>
          </w:tcPr>
          <w:p w14:paraId="4F1E20FE"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0.18, 1.19</w:t>
            </w:r>
          </w:p>
        </w:tc>
        <w:tc>
          <w:tcPr>
            <w:tcW w:w="1607" w:type="dxa"/>
            <w:shd w:val="clear" w:color="auto" w:fill="FFFFFF"/>
            <w:tcMar>
              <w:top w:w="0" w:type="dxa"/>
              <w:left w:w="0" w:type="dxa"/>
              <w:bottom w:w="0" w:type="dxa"/>
              <w:right w:w="0" w:type="dxa"/>
            </w:tcMar>
          </w:tcPr>
          <w:p w14:paraId="51E4997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0.12</w:t>
            </w:r>
          </w:p>
        </w:tc>
      </w:tr>
      <w:tr w:rsidR="00D13460" w:rsidRPr="00D13460" w14:paraId="480AF4BE" w14:textId="77777777" w:rsidTr="00777483">
        <w:trPr>
          <w:trHeight w:val="322"/>
        </w:trPr>
        <w:tc>
          <w:tcPr>
            <w:tcW w:w="4663" w:type="dxa"/>
            <w:shd w:val="clear" w:color="auto" w:fill="FFFFFF"/>
            <w:tcMar>
              <w:top w:w="0" w:type="dxa"/>
              <w:left w:w="0" w:type="dxa"/>
              <w:bottom w:w="0" w:type="dxa"/>
              <w:right w:w="0" w:type="dxa"/>
            </w:tcMar>
          </w:tcPr>
          <w:p w14:paraId="4742323B"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rPr>
                <w:rFonts w:ascii="Arial Narrow" w:eastAsia="Times New Roman" w:hAnsi="Arial Narrow" w:cs="Times New Roman"/>
                <w:b/>
                <w:bCs/>
                <w:sz w:val="20"/>
                <w:szCs w:val="20"/>
              </w:rPr>
            </w:pPr>
            <w:proofErr w:type="spellStart"/>
            <w:r w:rsidRPr="00D13460">
              <w:rPr>
                <w:rFonts w:ascii="Arial Narrow" w:eastAsia="Arial" w:hAnsi="Arial Narrow" w:cs="Times New Roman"/>
                <w:b/>
                <w:bCs/>
                <w:color w:val="000000"/>
                <w:sz w:val="20"/>
                <w:szCs w:val="20"/>
              </w:rPr>
              <w:t>Antécédant</w:t>
            </w:r>
            <w:proofErr w:type="spellEnd"/>
            <w:r w:rsidRPr="00D13460">
              <w:rPr>
                <w:rFonts w:ascii="Arial Narrow" w:eastAsia="Arial" w:hAnsi="Arial Narrow" w:cs="Times New Roman"/>
                <w:b/>
                <w:bCs/>
                <w:color w:val="000000"/>
                <w:sz w:val="20"/>
                <w:szCs w:val="20"/>
              </w:rPr>
              <w:t xml:space="preserve"> de formation</w:t>
            </w:r>
          </w:p>
        </w:tc>
        <w:tc>
          <w:tcPr>
            <w:tcW w:w="1141" w:type="dxa"/>
            <w:shd w:val="clear" w:color="auto" w:fill="FFFFFF"/>
            <w:tcMar>
              <w:top w:w="0" w:type="dxa"/>
              <w:left w:w="0" w:type="dxa"/>
              <w:bottom w:w="0" w:type="dxa"/>
              <w:right w:w="0" w:type="dxa"/>
            </w:tcMar>
          </w:tcPr>
          <w:p w14:paraId="518DCFB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888" w:type="dxa"/>
            <w:shd w:val="clear" w:color="auto" w:fill="FFFFFF"/>
            <w:tcMar>
              <w:top w:w="0" w:type="dxa"/>
              <w:left w:w="0" w:type="dxa"/>
              <w:bottom w:w="0" w:type="dxa"/>
              <w:right w:w="0" w:type="dxa"/>
            </w:tcMar>
          </w:tcPr>
          <w:p w14:paraId="48673204"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c>
          <w:tcPr>
            <w:tcW w:w="1607" w:type="dxa"/>
            <w:shd w:val="clear" w:color="auto" w:fill="FFFFFF"/>
            <w:tcMar>
              <w:top w:w="0" w:type="dxa"/>
              <w:left w:w="0" w:type="dxa"/>
              <w:bottom w:w="0" w:type="dxa"/>
              <w:right w:w="0" w:type="dxa"/>
            </w:tcMar>
          </w:tcPr>
          <w:p w14:paraId="39F6B1A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0.029</w:t>
            </w:r>
          </w:p>
        </w:tc>
      </w:tr>
      <w:tr w:rsidR="00D13460" w:rsidRPr="00D13460" w14:paraId="76B87E94" w14:textId="77777777" w:rsidTr="00D13460">
        <w:trPr>
          <w:trHeight w:val="217"/>
        </w:trPr>
        <w:tc>
          <w:tcPr>
            <w:tcW w:w="4663" w:type="dxa"/>
            <w:shd w:val="clear" w:color="auto" w:fill="FFFFFF"/>
            <w:tcMar>
              <w:top w:w="0" w:type="dxa"/>
              <w:left w:w="0" w:type="dxa"/>
              <w:bottom w:w="0" w:type="dxa"/>
              <w:right w:w="0" w:type="dxa"/>
            </w:tcMar>
          </w:tcPr>
          <w:p w14:paraId="675BEE05"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Jamais</w:t>
            </w:r>
          </w:p>
        </w:tc>
        <w:tc>
          <w:tcPr>
            <w:tcW w:w="1141" w:type="dxa"/>
            <w:shd w:val="clear" w:color="auto" w:fill="FFFFFF"/>
            <w:tcMar>
              <w:top w:w="0" w:type="dxa"/>
              <w:left w:w="0" w:type="dxa"/>
              <w:bottom w:w="0" w:type="dxa"/>
              <w:right w:w="0" w:type="dxa"/>
            </w:tcMar>
          </w:tcPr>
          <w:p w14:paraId="4CC71D38"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w:t>
            </w:r>
          </w:p>
        </w:tc>
        <w:tc>
          <w:tcPr>
            <w:tcW w:w="1888" w:type="dxa"/>
            <w:shd w:val="clear" w:color="auto" w:fill="FFFFFF"/>
            <w:tcMar>
              <w:top w:w="0" w:type="dxa"/>
              <w:left w:w="0" w:type="dxa"/>
              <w:bottom w:w="0" w:type="dxa"/>
              <w:right w:w="0" w:type="dxa"/>
            </w:tcMar>
          </w:tcPr>
          <w:p w14:paraId="0DB8BA4C"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w:t>
            </w:r>
          </w:p>
        </w:tc>
        <w:tc>
          <w:tcPr>
            <w:tcW w:w="1607" w:type="dxa"/>
            <w:shd w:val="clear" w:color="auto" w:fill="FFFFFF"/>
            <w:tcMar>
              <w:top w:w="0" w:type="dxa"/>
              <w:left w:w="0" w:type="dxa"/>
              <w:bottom w:w="0" w:type="dxa"/>
              <w:right w:w="0" w:type="dxa"/>
            </w:tcMar>
          </w:tcPr>
          <w:p w14:paraId="02CFBDFF"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p>
        </w:tc>
      </w:tr>
      <w:tr w:rsidR="00D13460" w:rsidRPr="00D13460" w14:paraId="27585504" w14:textId="77777777" w:rsidTr="00D13460">
        <w:trPr>
          <w:trHeight w:val="360"/>
        </w:trPr>
        <w:tc>
          <w:tcPr>
            <w:tcW w:w="4663" w:type="dxa"/>
            <w:tcBorders>
              <w:bottom w:val="single" w:sz="8" w:space="0" w:color="1F497D" w:themeColor="text2"/>
            </w:tcBorders>
            <w:shd w:val="clear" w:color="auto" w:fill="FFFFFF"/>
            <w:tcMar>
              <w:top w:w="0" w:type="dxa"/>
              <w:left w:w="0" w:type="dxa"/>
              <w:bottom w:w="0" w:type="dxa"/>
              <w:right w:w="0" w:type="dxa"/>
            </w:tcMar>
          </w:tcPr>
          <w:p w14:paraId="1EDCF4A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300" w:right="100"/>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 xml:space="preserve">Au </w:t>
            </w:r>
            <w:proofErr w:type="spellStart"/>
            <w:r w:rsidRPr="00D13460">
              <w:rPr>
                <w:rFonts w:ascii="Arial Narrow" w:eastAsia="Arial" w:hAnsi="Arial Narrow" w:cs="Times New Roman"/>
                <w:color w:val="000000"/>
                <w:sz w:val="20"/>
                <w:szCs w:val="20"/>
              </w:rPr>
              <w:t>moins</w:t>
            </w:r>
            <w:proofErr w:type="spellEnd"/>
            <w:r w:rsidRPr="00D13460">
              <w:rPr>
                <w:rFonts w:ascii="Arial Narrow" w:eastAsia="Arial" w:hAnsi="Arial Narrow" w:cs="Times New Roman"/>
                <w:color w:val="000000"/>
                <w:sz w:val="20"/>
                <w:szCs w:val="20"/>
              </w:rPr>
              <w:t xml:space="preserve"> </w:t>
            </w:r>
            <w:proofErr w:type="spellStart"/>
            <w:r w:rsidRPr="00D13460">
              <w:rPr>
                <w:rFonts w:ascii="Arial Narrow" w:eastAsia="Arial" w:hAnsi="Arial Narrow" w:cs="Times New Roman"/>
                <w:color w:val="000000"/>
                <w:sz w:val="20"/>
                <w:szCs w:val="20"/>
              </w:rPr>
              <w:t>une</w:t>
            </w:r>
            <w:proofErr w:type="spellEnd"/>
            <w:r w:rsidRPr="00D13460">
              <w:rPr>
                <w:rFonts w:ascii="Arial Narrow" w:eastAsia="Arial" w:hAnsi="Arial Narrow" w:cs="Times New Roman"/>
                <w:color w:val="000000"/>
                <w:sz w:val="20"/>
                <w:szCs w:val="20"/>
              </w:rPr>
              <w:t xml:space="preserve"> </w:t>
            </w:r>
            <w:proofErr w:type="spellStart"/>
            <w:r w:rsidRPr="00D13460">
              <w:rPr>
                <w:rFonts w:ascii="Arial Narrow" w:eastAsia="Arial" w:hAnsi="Arial Narrow" w:cs="Times New Roman"/>
                <w:color w:val="000000"/>
                <w:sz w:val="20"/>
                <w:szCs w:val="20"/>
              </w:rPr>
              <w:t>fois</w:t>
            </w:r>
            <w:proofErr w:type="spellEnd"/>
          </w:p>
        </w:tc>
        <w:tc>
          <w:tcPr>
            <w:tcW w:w="1141" w:type="dxa"/>
            <w:tcBorders>
              <w:bottom w:val="single" w:sz="8" w:space="0" w:color="1F497D" w:themeColor="text2"/>
            </w:tcBorders>
            <w:shd w:val="clear" w:color="auto" w:fill="FFFFFF"/>
            <w:tcMar>
              <w:top w:w="0" w:type="dxa"/>
              <w:left w:w="0" w:type="dxa"/>
              <w:bottom w:w="0" w:type="dxa"/>
              <w:right w:w="0" w:type="dxa"/>
            </w:tcMar>
          </w:tcPr>
          <w:p w14:paraId="1DA238AF"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2.07</w:t>
            </w:r>
          </w:p>
        </w:tc>
        <w:tc>
          <w:tcPr>
            <w:tcW w:w="1888" w:type="dxa"/>
            <w:tcBorders>
              <w:bottom w:val="single" w:sz="8" w:space="0" w:color="1F497D" w:themeColor="text2"/>
            </w:tcBorders>
            <w:shd w:val="clear" w:color="auto" w:fill="FFFFFF"/>
            <w:tcMar>
              <w:top w:w="0" w:type="dxa"/>
              <w:left w:w="0" w:type="dxa"/>
              <w:bottom w:w="0" w:type="dxa"/>
              <w:right w:w="0" w:type="dxa"/>
            </w:tcMar>
          </w:tcPr>
          <w:p w14:paraId="736543C6"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1.09, 4.02</w:t>
            </w:r>
          </w:p>
        </w:tc>
        <w:tc>
          <w:tcPr>
            <w:tcW w:w="1607" w:type="dxa"/>
            <w:tcBorders>
              <w:bottom w:val="single" w:sz="8" w:space="0" w:color="1F497D" w:themeColor="text2"/>
            </w:tcBorders>
            <w:shd w:val="clear" w:color="auto" w:fill="FFFFFF"/>
            <w:tcMar>
              <w:top w:w="0" w:type="dxa"/>
              <w:left w:w="0" w:type="dxa"/>
              <w:bottom w:w="0" w:type="dxa"/>
              <w:right w:w="0" w:type="dxa"/>
            </w:tcMar>
          </w:tcPr>
          <w:p w14:paraId="0EE5F799" w14:textId="77777777" w:rsidR="00D13460" w:rsidRPr="00D13460" w:rsidRDefault="00D13460" w:rsidP="0077748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Arial Narrow" w:eastAsia="Times New Roman" w:hAnsi="Arial Narrow" w:cs="Times New Roman"/>
                <w:sz w:val="20"/>
                <w:szCs w:val="20"/>
              </w:rPr>
            </w:pPr>
            <w:r w:rsidRPr="00D13460">
              <w:rPr>
                <w:rFonts w:ascii="Arial Narrow" w:eastAsia="Arial" w:hAnsi="Arial Narrow" w:cs="Times New Roman"/>
                <w:color w:val="000000"/>
                <w:sz w:val="20"/>
                <w:szCs w:val="20"/>
              </w:rPr>
              <w:t>0.029</w:t>
            </w:r>
          </w:p>
        </w:tc>
      </w:tr>
    </w:tbl>
    <w:p w14:paraId="481A87ED" w14:textId="14260405" w:rsidR="00D13460" w:rsidRPr="00D13460" w:rsidRDefault="00D13460" w:rsidP="00D13460">
      <w:pPr>
        <w:spacing w:after="0"/>
        <w:jc w:val="both"/>
        <w:rPr>
          <w:rFonts w:ascii="Arial Narrow" w:hAnsi="Arial Narrow"/>
          <w:sz w:val="20"/>
          <w:szCs w:val="20"/>
          <w:lang w:val="fr-FR"/>
        </w:rPr>
      </w:pPr>
      <w:r w:rsidRPr="00D13460">
        <w:rPr>
          <w:rFonts w:ascii="Arial Narrow" w:eastAsia="Arial" w:hAnsi="Arial Narrow" w:cs="Times New Roman"/>
          <w:color w:val="000000"/>
          <w:sz w:val="20"/>
          <w:szCs w:val="20"/>
          <w:vertAlign w:val="superscript"/>
          <w:lang w:val="fr-FR"/>
        </w:rPr>
        <w:t>1</w:t>
      </w:r>
      <w:r w:rsidRPr="00D13460">
        <w:rPr>
          <w:rFonts w:ascii="Arial Narrow" w:eastAsia="Arial" w:hAnsi="Arial Narrow" w:cs="Times New Roman"/>
          <w:color w:val="000000"/>
          <w:sz w:val="20"/>
          <w:szCs w:val="20"/>
          <w:lang w:val="fr-FR"/>
        </w:rPr>
        <w:t xml:space="preserve">ORa = </w:t>
      </w:r>
      <w:proofErr w:type="spellStart"/>
      <w:r w:rsidRPr="00D13460">
        <w:rPr>
          <w:rFonts w:ascii="Arial Narrow" w:eastAsia="Arial" w:hAnsi="Arial Narrow" w:cs="Times New Roman"/>
          <w:color w:val="000000"/>
          <w:sz w:val="20"/>
          <w:szCs w:val="20"/>
          <w:lang w:val="fr-FR"/>
        </w:rPr>
        <w:t>Odds</w:t>
      </w:r>
      <w:proofErr w:type="spellEnd"/>
      <w:r w:rsidRPr="00D13460">
        <w:rPr>
          <w:rFonts w:ascii="Arial Narrow" w:eastAsia="Arial" w:hAnsi="Arial Narrow" w:cs="Times New Roman"/>
          <w:color w:val="000000"/>
          <w:sz w:val="20"/>
          <w:szCs w:val="20"/>
          <w:lang w:val="fr-FR"/>
        </w:rPr>
        <w:t xml:space="preserve"> Ratio ajusté, IC = intervalle de confiance</w:t>
      </w:r>
    </w:p>
    <w:p w14:paraId="3F3C21AB" w14:textId="3A49AE27" w:rsidR="00407063" w:rsidRPr="000076D1" w:rsidRDefault="00D13460" w:rsidP="005B72EA">
      <w:pPr>
        <w:pStyle w:val="Titre2"/>
        <w:rPr>
          <w:rFonts w:ascii="Arial Narrow" w:hAnsi="Arial Narrow"/>
          <w:color w:val="1F497D" w:themeColor="text2"/>
          <w:sz w:val="20"/>
          <w:szCs w:val="20"/>
          <w:lang w:val="fr-FR"/>
        </w:rPr>
      </w:pPr>
      <w:r w:rsidRPr="00D13460">
        <w:rPr>
          <w:rFonts w:ascii="Arial Narrow" w:hAnsi="Arial Narrow"/>
          <w:color w:val="1F497D" w:themeColor="text2"/>
          <w:sz w:val="20"/>
          <w:szCs w:val="20"/>
          <w:lang w:val="fr-FR"/>
        </w:rPr>
        <w:lastRenderedPageBreak/>
        <w:t>Pratiques des agents de santé en matière de précautions standards de prévention des infections.</w:t>
      </w:r>
    </w:p>
    <w:p w14:paraId="2AABF5CA" w14:textId="308EE933" w:rsidR="00E76207" w:rsidRDefault="00D13460" w:rsidP="00E76207">
      <w:pPr>
        <w:spacing w:after="0"/>
        <w:jc w:val="both"/>
        <w:rPr>
          <w:rFonts w:ascii="Arial Narrow" w:hAnsi="Arial Narrow"/>
          <w:sz w:val="20"/>
          <w:szCs w:val="20"/>
          <w:lang w:val="fr-FR"/>
        </w:rPr>
      </w:pPr>
      <w:r w:rsidRPr="00D13460">
        <w:rPr>
          <w:rFonts w:ascii="Arial Narrow" w:hAnsi="Arial Narrow"/>
          <w:sz w:val="20"/>
          <w:szCs w:val="20"/>
          <w:lang w:val="fr-FR"/>
        </w:rPr>
        <w:t>La figure 1 présente les pratiques des agents de santé en matière de précautions standards de prévention des infections. Le lavage ou la désinfection des mains était systématique pour 13,3% (128/963) immédiatement avant tout contact direct avec un patient. Le port de gants était systématique pour 47,7% des participants (459/963) lorsqu’il existait un risque de contact avec du sang ou tout autre produit d’origine humaine. Le port de gants était systématique pour 49,9% des participants (481/963) lors de soins avec risque de projection de sang ou autres liquides biologiques. Moins de la moitié (43,9%, 423/963) des participants ont rapporté changer de tenue professionnelle quotidiennement. En ce qui concerne le matériel piquant ou tranchant à usage unique, 20,2% (195/963) des agents de santé ont déclaré ne pas recapuchonner les aiguilles. Un peu plus de la moitié des participants (53,7%, 517/963) ont rapporté vérifier systématiquement que le matériel réutilisable ait bénéficié d’une stérilisation ou désinfection avant de l’utiliser. Les pratiques étaient conformes aux recommandations standards chez 26% des PS pour le lavage/désinfection systématique des mains, 19% pour la gestion du matériel piquant/tranchant et 66% pour le nettoyage/désinfection des surfaces souillées (tableau 4).</w:t>
      </w:r>
    </w:p>
    <w:p w14:paraId="21BAE71C" w14:textId="77777777" w:rsidR="00D13460" w:rsidRDefault="00D13460" w:rsidP="00E76207">
      <w:pPr>
        <w:spacing w:after="0"/>
        <w:jc w:val="both"/>
        <w:rPr>
          <w:rFonts w:ascii="Arial Narrow" w:hAnsi="Arial Narrow"/>
          <w:sz w:val="20"/>
          <w:szCs w:val="20"/>
          <w:lang w:val="fr-FR"/>
        </w:rPr>
      </w:pPr>
    </w:p>
    <w:p w14:paraId="46C19D3F" w14:textId="03F5ABFA" w:rsidR="00D13460" w:rsidRPr="00C61920" w:rsidRDefault="00D13460">
      <w:pPr>
        <w:rPr>
          <w:rFonts w:cs="Times New Roman"/>
          <w:noProof/>
          <w:sz w:val="24"/>
          <w:szCs w:val="24"/>
          <w:lang w:val="fr-FR"/>
        </w:rPr>
      </w:pPr>
      <w:r w:rsidRPr="00C61920">
        <w:rPr>
          <w:rFonts w:cs="Times New Roman"/>
          <w:noProof/>
          <w:sz w:val="24"/>
          <w:szCs w:val="24"/>
          <w:lang w:val="fr-FR"/>
        </w:rPr>
        <w:br w:type="page"/>
      </w:r>
    </w:p>
    <w:p w14:paraId="02D335BE" w14:textId="2CBC8281" w:rsidR="00D13460" w:rsidRPr="000076D1" w:rsidRDefault="00157B9E" w:rsidP="00E76207">
      <w:pPr>
        <w:spacing w:after="0"/>
        <w:jc w:val="both"/>
        <w:rPr>
          <w:rFonts w:ascii="Arial Narrow" w:hAnsi="Arial Narrow"/>
          <w:sz w:val="20"/>
          <w:szCs w:val="20"/>
          <w:lang w:val="fr-FR"/>
        </w:rPr>
      </w:pPr>
      <w:r>
        <w:rPr>
          <w:rFonts w:cs="Times New Roman"/>
          <w:noProof/>
          <w:sz w:val="24"/>
          <w:szCs w:val="24"/>
        </w:rPr>
        <w:lastRenderedPageBreak/>
        <mc:AlternateContent>
          <mc:Choice Requires="wpg">
            <w:drawing>
              <wp:anchor distT="0" distB="0" distL="114300" distR="114300" simplePos="0" relativeHeight="251659264" behindDoc="0" locked="0" layoutInCell="1" allowOverlap="1" wp14:anchorId="56E74C74" wp14:editId="026CE3D3">
                <wp:simplePos x="0" y="0"/>
                <wp:positionH relativeFrom="column">
                  <wp:posOffset>0</wp:posOffset>
                </wp:positionH>
                <wp:positionV relativeFrom="paragraph">
                  <wp:posOffset>0</wp:posOffset>
                </wp:positionV>
                <wp:extent cx="5744451" cy="6619583"/>
                <wp:effectExtent l="0" t="0" r="8890" b="0"/>
                <wp:wrapNone/>
                <wp:docPr id="489735463" name="Groupe 23"/>
                <wp:cNvGraphicFramePr/>
                <a:graphic xmlns:a="http://schemas.openxmlformats.org/drawingml/2006/main">
                  <a:graphicData uri="http://schemas.microsoft.com/office/word/2010/wordprocessingGroup">
                    <wpg:wgp>
                      <wpg:cNvGrpSpPr/>
                      <wpg:grpSpPr>
                        <a:xfrm>
                          <a:off x="0" y="0"/>
                          <a:ext cx="5744451" cy="6619583"/>
                          <a:chOff x="0" y="0"/>
                          <a:chExt cx="5744451" cy="6619583"/>
                        </a:xfrm>
                      </wpg:grpSpPr>
                      <wpg:grpSp>
                        <wpg:cNvPr id="474764313" name="Groupe 22"/>
                        <wpg:cNvGrpSpPr/>
                        <wpg:grpSpPr>
                          <a:xfrm>
                            <a:off x="0" y="0"/>
                            <a:ext cx="5744451" cy="6619583"/>
                            <a:chOff x="0" y="0"/>
                            <a:chExt cx="5744451" cy="6619583"/>
                          </a:xfrm>
                        </wpg:grpSpPr>
                        <wps:wsp>
                          <wps:cNvPr id="144072632" name="Zone de texte 12"/>
                          <wps:cNvSpPr txBox="1"/>
                          <wps:spPr>
                            <a:xfrm>
                              <a:off x="0" y="0"/>
                              <a:ext cx="5744451" cy="6619583"/>
                            </a:xfrm>
                            <a:prstGeom prst="rect">
                              <a:avLst/>
                            </a:prstGeom>
                            <a:solidFill>
                              <a:schemeClr val="lt1"/>
                            </a:solidFill>
                            <a:ln w="6350">
                              <a:noFill/>
                            </a:ln>
                          </wps:spPr>
                          <wps:txbx>
                            <w:txbxContent>
                              <w:p w14:paraId="033B882F" w14:textId="77777777" w:rsidR="00157B9E" w:rsidRDefault="00157B9E" w:rsidP="00157B9E">
                                <w:pPr>
                                  <w:spacing w:after="0" w:line="240" w:lineRule="auto"/>
                                  <w:rPr>
                                    <w:rFonts w:cs="Times New Roman"/>
                                    <w:noProof/>
                                    <w:sz w:val="24"/>
                                    <w:szCs w:val="24"/>
                                  </w:rPr>
                                </w:pPr>
                              </w:p>
                              <w:p w14:paraId="1DE4135F" w14:textId="77777777" w:rsidR="00157B9E" w:rsidRDefault="00157B9E" w:rsidP="00157B9E">
                                <w:pPr>
                                  <w:spacing w:after="0" w:line="240" w:lineRule="auto"/>
                                </w:pPr>
                                <w:r>
                                  <w:rPr>
                                    <w:rFonts w:cs="Times New Roman"/>
                                    <w:noProof/>
                                    <w:sz w:val="24"/>
                                    <w:szCs w:val="24"/>
                                  </w:rPr>
                                  <w:drawing>
                                    <wp:inline distT="0" distB="0" distL="0" distR="0" wp14:anchorId="2616E4A6" wp14:editId="574E7A23">
                                      <wp:extent cx="2840265" cy="1995900"/>
                                      <wp:effectExtent l="0" t="0" r="0" b="4445"/>
                                      <wp:docPr id="152121857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0265" cy="1995900"/>
                                              </a:xfrm>
                                              <a:prstGeom prst="rect">
                                                <a:avLst/>
                                              </a:prstGeom>
                                              <a:noFill/>
                                            </pic:spPr>
                                          </pic:pic>
                                        </a:graphicData>
                                      </a:graphic>
                                    </wp:inline>
                                  </w:drawing>
                                </w:r>
                                <w:r>
                                  <w:rPr>
                                    <w:rFonts w:cs="Times New Roman"/>
                                    <w:noProof/>
                                    <w:sz w:val="24"/>
                                    <w:szCs w:val="24"/>
                                  </w:rPr>
                                  <w:t xml:space="preserve"> </w:t>
                                </w:r>
                                <w:r>
                                  <w:rPr>
                                    <w:rFonts w:cs="Times New Roman"/>
                                    <w:noProof/>
                                    <w:sz w:val="24"/>
                                    <w:szCs w:val="24"/>
                                  </w:rPr>
                                  <w:drawing>
                                    <wp:inline distT="0" distB="0" distL="0" distR="0" wp14:anchorId="78B075A4" wp14:editId="249E081F">
                                      <wp:extent cx="2653442" cy="2018842"/>
                                      <wp:effectExtent l="0" t="0" r="0" b="635"/>
                                      <wp:docPr id="19977679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3442" cy="2018842"/>
                                              </a:xfrm>
                                              <a:prstGeom prst="rect">
                                                <a:avLst/>
                                              </a:prstGeom>
                                              <a:noFill/>
                                            </pic:spPr>
                                          </pic:pic>
                                        </a:graphicData>
                                      </a:graphic>
                                    </wp:inline>
                                  </w:drawing>
                                </w:r>
                              </w:p>
                              <w:p w14:paraId="51C7E201" w14:textId="77777777" w:rsidR="00157B9E" w:rsidRDefault="00157B9E" w:rsidP="00157B9E">
                                <w:pPr>
                                  <w:spacing w:after="0" w:line="240" w:lineRule="auto"/>
                                  <w:rPr>
                                    <w:rFonts w:cs="Times New Roman"/>
                                    <w:noProof/>
                                    <w:sz w:val="24"/>
                                    <w:szCs w:val="24"/>
                                  </w:rPr>
                                </w:pPr>
                                <w:r>
                                  <w:t xml:space="preserve"> </w:t>
                                </w:r>
                              </w:p>
                              <w:p w14:paraId="7C361D92" w14:textId="77777777" w:rsidR="00157B9E" w:rsidRDefault="00157B9E" w:rsidP="00157B9E">
                                <w:pPr>
                                  <w:spacing w:after="0" w:line="240" w:lineRule="auto"/>
                                  <w:rPr>
                                    <w:rFonts w:cs="Times New Roman"/>
                                    <w:noProof/>
                                    <w:sz w:val="24"/>
                                    <w:szCs w:val="24"/>
                                  </w:rPr>
                                </w:pPr>
                              </w:p>
                              <w:p w14:paraId="431968BE" w14:textId="77777777" w:rsidR="00157B9E" w:rsidRDefault="00157B9E" w:rsidP="00157B9E">
                                <w:pPr>
                                  <w:spacing w:after="0" w:line="240" w:lineRule="auto"/>
                                  <w:rPr>
                                    <w:rFonts w:cs="Times New Roman"/>
                                    <w:noProof/>
                                    <w:sz w:val="24"/>
                                    <w:szCs w:val="24"/>
                                  </w:rPr>
                                </w:pPr>
                                <w:r>
                                  <w:rPr>
                                    <w:rFonts w:cs="Times New Roman"/>
                                    <w:noProof/>
                                    <w:sz w:val="24"/>
                                    <w:szCs w:val="24"/>
                                  </w:rPr>
                                  <w:drawing>
                                    <wp:inline distT="0" distB="0" distL="0" distR="0" wp14:anchorId="5DAA4455" wp14:editId="680C5E1F">
                                      <wp:extent cx="2765639" cy="1878167"/>
                                      <wp:effectExtent l="0" t="0" r="0" b="8255"/>
                                      <wp:docPr id="167030621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1275" cy="1970278"/>
                                              </a:xfrm>
                                              <a:prstGeom prst="rect">
                                                <a:avLst/>
                                              </a:prstGeom>
                                              <a:noFill/>
                                            </pic:spPr>
                                          </pic:pic>
                                        </a:graphicData>
                                      </a:graphic>
                                    </wp:inline>
                                  </w:drawing>
                                </w:r>
                                <w:r>
                                  <w:rPr>
                                    <w:rFonts w:cs="Times New Roman"/>
                                    <w:noProof/>
                                    <w:sz w:val="24"/>
                                    <w:szCs w:val="24"/>
                                  </w:rPr>
                                  <w:t xml:space="preserve">  </w:t>
                                </w:r>
                                <w:r>
                                  <w:rPr>
                                    <w:rFonts w:cs="Times New Roman"/>
                                    <w:noProof/>
                                    <w:sz w:val="24"/>
                                    <w:szCs w:val="24"/>
                                  </w:rPr>
                                  <w:drawing>
                                    <wp:inline distT="0" distB="0" distL="0" distR="0" wp14:anchorId="3D83C505" wp14:editId="032A3107">
                                      <wp:extent cx="2596515" cy="1860985"/>
                                      <wp:effectExtent l="0" t="0" r="0" b="6350"/>
                                      <wp:docPr id="178407173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8652" cy="1912687"/>
                                              </a:xfrm>
                                              <a:prstGeom prst="rect">
                                                <a:avLst/>
                                              </a:prstGeom>
                                              <a:noFill/>
                                            </pic:spPr>
                                          </pic:pic>
                                        </a:graphicData>
                                      </a:graphic>
                                    </wp:inline>
                                  </w:drawing>
                                </w:r>
                                <w:r>
                                  <w:rPr>
                                    <w:rFonts w:cs="Times New Roman"/>
                                    <w:noProof/>
                                    <w:sz w:val="24"/>
                                    <w:szCs w:val="24"/>
                                  </w:rPr>
                                  <w:t xml:space="preserve">  </w:t>
                                </w:r>
                              </w:p>
                              <w:p w14:paraId="40D420DB" w14:textId="77777777" w:rsidR="00157B9E" w:rsidRDefault="00157B9E" w:rsidP="00157B9E">
                                <w:pPr>
                                  <w:spacing w:after="0" w:line="240" w:lineRule="auto"/>
                                  <w:rPr>
                                    <w:rFonts w:cs="Times New Roman"/>
                                    <w:noProof/>
                                    <w:sz w:val="24"/>
                                    <w:szCs w:val="24"/>
                                  </w:rPr>
                                </w:pPr>
                              </w:p>
                              <w:p w14:paraId="24FD579D" w14:textId="77777777" w:rsidR="00157B9E" w:rsidRDefault="00157B9E" w:rsidP="00157B9E">
                                <w:pPr>
                                  <w:spacing w:after="0" w:line="240" w:lineRule="auto"/>
                                </w:pPr>
                                <w:r>
                                  <w:rPr>
                                    <w:rFonts w:cs="Times New Roman"/>
                                    <w:b/>
                                    <w:bCs/>
                                    <w:noProof/>
                                    <w:sz w:val="24"/>
                                    <w:szCs w:val="24"/>
                                  </w:rPr>
                                  <w:drawing>
                                    <wp:inline distT="0" distB="0" distL="0" distR="0" wp14:anchorId="04A795B7" wp14:editId="2C273B7E">
                                      <wp:extent cx="2715151" cy="1906488"/>
                                      <wp:effectExtent l="0" t="0" r="9525" b="0"/>
                                      <wp:docPr id="151317374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1457" cy="1924959"/>
                                              </a:xfrm>
                                              <a:prstGeom prst="rect">
                                                <a:avLst/>
                                              </a:prstGeom>
                                              <a:noFill/>
                                            </pic:spPr>
                                          </pic:pic>
                                        </a:graphicData>
                                      </a:graphic>
                                    </wp:inline>
                                  </w:drawing>
                                </w:r>
                                <w:r>
                                  <w:rPr>
                                    <w:rFonts w:cs="Times New Roman"/>
                                    <w:noProof/>
                                    <w:sz w:val="24"/>
                                    <w:szCs w:val="24"/>
                                  </w:rPr>
                                  <w:t xml:space="preserve">   </w:t>
                                </w:r>
                                <w:r>
                                  <w:rPr>
                                    <w:rFonts w:cs="Times New Roman"/>
                                    <w:noProof/>
                                    <w:sz w:val="24"/>
                                    <w:szCs w:val="24"/>
                                  </w:rPr>
                                  <w:drawing>
                                    <wp:inline distT="0" distB="0" distL="0" distR="0" wp14:anchorId="7822091B" wp14:editId="4CC4588A">
                                      <wp:extent cx="2597275" cy="1901694"/>
                                      <wp:effectExtent l="0" t="0" r="0" b="3810"/>
                                      <wp:docPr id="172334948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0068" cy="1947670"/>
                                              </a:xfrm>
                                              <a:prstGeom prst="rect">
                                                <a:avLst/>
                                              </a:prstGeom>
                                              <a:noFill/>
                                            </pic:spPr>
                                          </pic:pic>
                                        </a:graphicData>
                                      </a:graphic>
                                    </wp:inline>
                                  </w:drawing>
                                </w:r>
                                <w:r>
                                  <w:rPr>
                                    <w:rFonts w:cs="Times New Roman"/>
                                    <w:noProof/>
                                    <w:sz w:val="24"/>
                                    <w:szCs w:val="24"/>
                                  </w:rPr>
                                  <w:t xml:space="preserve">                                                                         </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04422607" name="Groupe 17"/>
                          <wpg:cNvGrpSpPr/>
                          <wpg:grpSpPr>
                            <a:xfrm>
                              <a:off x="453225" y="23854"/>
                              <a:ext cx="4802002" cy="4672634"/>
                              <a:chOff x="0" y="0"/>
                              <a:chExt cx="4802002" cy="4672634"/>
                            </a:xfrm>
                          </wpg:grpSpPr>
                          <wps:wsp>
                            <wps:cNvPr id="740469692" name="Zone de texte 11"/>
                            <wps:cNvSpPr txBox="1"/>
                            <wps:spPr>
                              <a:xfrm>
                                <a:off x="235583" y="33656"/>
                                <a:ext cx="991550" cy="218783"/>
                              </a:xfrm>
                              <a:prstGeom prst="rect">
                                <a:avLst/>
                              </a:prstGeom>
                              <a:solidFill>
                                <a:schemeClr val="lt1"/>
                              </a:solidFill>
                              <a:ln w="6350">
                                <a:noFill/>
                              </a:ln>
                            </wps:spPr>
                            <wps:txbx>
                              <w:txbxContent>
                                <w:p w14:paraId="238594CE" w14:textId="77777777" w:rsidR="00157B9E" w:rsidRPr="003911F2" w:rsidRDefault="00157B9E" w:rsidP="00157B9E">
                                  <w:pPr>
                                    <w:spacing w:after="0" w:line="240" w:lineRule="auto"/>
                                    <w:rPr>
                                      <w:b/>
                                      <w:bCs/>
                                      <w:sz w:val="16"/>
                                      <w:szCs w:val="16"/>
                                    </w:rPr>
                                  </w:pPr>
                                  <w:r w:rsidRPr="003911F2">
                                    <w:rPr>
                                      <w:b/>
                                      <w:bCs/>
                                      <w:sz w:val="16"/>
                                      <w:szCs w:val="16"/>
                                    </w:rPr>
                                    <w:t xml:space="preserve">Lavage des mains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2105643" name="Zone de texte 11"/>
                            <wps:cNvSpPr txBox="1"/>
                            <wps:spPr>
                              <a:xfrm>
                                <a:off x="3175156" y="0"/>
                                <a:ext cx="1278819" cy="218440"/>
                              </a:xfrm>
                              <a:prstGeom prst="rect">
                                <a:avLst/>
                              </a:prstGeom>
                              <a:solidFill>
                                <a:sysClr val="window" lastClr="FFFFFF"/>
                              </a:solidFill>
                              <a:ln w="6350">
                                <a:noFill/>
                              </a:ln>
                            </wps:spPr>
                            <wps:txbx>
                              <w:txbxContent>
                                <w:p w14:paraId="56AA612D" w14:textId="77777777" w:rsidR="00157B9E" w:rsidRPr="003911F2" w:rsidRDefault="00157B9E" w:rsidP="00157B9E">
                                  <w:pPr>
                                    <w:spacing w:after="0" w:line="240" w:lineRule="auto"/>
                                    <w:jc w:val="center"/>
                                    <w:rPr>
                                      <w:b/>
                                      <w:bCs/>
                                      <w:sz w:val="16"/>
                                      <w:szCs w:val="16"/>
                                    </w:rPr>
                                  </w:pPr>
                                  <w:r>
                                    <w:rPr>
                                      <w:b/>
                                      <w:bCs/>
                                      <w:sz w:val="16"/>
                                      <w:szCs w:val="16"/>
                                    </w:rPr>
                                    <w:t xml:space="preserve">Port de </w:t>
                                  </w:r>
                                  <w:r>
                                    <w:rPr>
                                      <w:b/>
                                      <w:bCs/>
                                      <w:sz w:val="16"/>
                                      <w:szCs w:val="16"/>
                                    </w:rPr>
                                    <w:t>gants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6583386" name="Zone de texte 11"/>
                            <wps:cNvSpPr txBox="1"/>
                            <wps:spPr>
                              <a:xfrm>
                                <a:off x="145855" y="2322464"/>
                                <a:ext cx="1278819" cy="218440"/>
                              </a:xfrm>
                              <a:prstGeom prst="rect">
                                <a:avLst/>
                              </a:prstGeom>
                              <a:solidFill>
                                <a:sysClr val="window" lastClr="FFFFFF"/>
                              </a:solidFill>
                              <a:ln w="6350">
                                <a:noFill/>
                              </a:ln>
                            </wps:spPr>
                            <wps:txbx>
                              <w:txbxContent>
                                <w:p w14:paraId="615ED9FB" w14:textId="77777777" w:rsidR="00157B9E" w:rsidRPr="003911F2" w:rsidRDefault="00157B9E" w:rsidP="00157B9E">
                                  <w:pPr>
                                    <w:spacing w:after="0" w:line="240" w:lineRule="auto"/>
                                    <w:jc w:val="center"/>
                                    <w:rPr>
                                      <w:b/>
                                      <w:bCs/>
                                      <w:sz w:val="16"/>
                                      <w:szCs w:val="16"/>
                                    </w:rPr>
                                  </w:pPr>
                                  <w:r>
                                    <w:rPr>
                                      <w:b/>
                                      <w:bCs/>
                                      <w:sz w:val="16"/>
                                      <w:szCs w:val="16"/>
                                    </w:rPr>
                                    <w:t>Port de masque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3792127" name="Zone de texte 11"/>
                            <wps:cNvSpPr txBox="1"/>
                            <wps:spPr>
                              <a:xfrm>
                                <a:off x="2928324" y="2322464"/>
                                <a:ext cx="1873678" cy="218440"/>
                              </a:xfrm>
                              <a:prstGeom prst="rect">
                                <a:avLst/>
                              </a:prstGeom>
                              <a:solidFill>
                                <a:sysClr val="window" lastClr="FFFFFF"/>
                              </a:solidFill>
                              <a:ln w="6350">
                                <a:noFill/>
                              </a:ln>
                            </wps:spPr>
                            <wps:txbx>
                              <w:txbxContent>
                                <w:p w14:paraId="0EDD5BD6" w14:textId="77777777" w:rsidR="00157B9E" w:rsidRPr="003911F2" w:rsidRDefault="00157B9E" w:rsidP="00157B9E">
                                  <w:pPr>
                                    <w:spacing w:after="0" w:line="240" w:lineRule="auto"/>
                                    <w:jc w:val="center"/>
                                    <w:rPr>
                                      <w:b/>
                                      <w:bCs/>
                                      <w:sz w:val="16"/>
                                      <w:szCs w:val="16"/>
                                    </w:rPr>
                                  </w:pPr>
                                  <w:r>
                                    <w:rPr>
                                      <w:b/>
                                      <w:bCs/>
                                      <w:sz w:val="16"/>
                                      <w:szCs w:val="16"/>
                                    </w:rPr>
                                    <w:t xml:space="preserve">Tenue </w:t>
                                  </w:r>
                                  <w:r>
                                    <w:rPr>
                                      <w:b/>
                                      <w:bCs/>
                                      <w:sz w:val="16"/>
                                      <w:szCs w:val="16"/>
                                    </w:rPr>
                                    <w:t>professionnelle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7596310" name="Zone de texte 11"/>
                            <wps:cNvSpPr txBox="1"/>
                            <wps:spPr>
                              <a:xfrm>
                                <a:off x="0" y="4454194"/>
                                <a:ext cx="1547526" cy="218440"/>
                              </a:xfrm>
                              <a:prstGeom prst="rect">
                                <a:avLst/>
                              </a:prstGeom>
                              <a:solidFill>
                                <a:sysClr val="window" lastClr="FFFFFF"/>
                              </a:solidFill>
                              <a:ln w="6350">
                                <a:noFill/>
                              </a:ln>
                            </wps:spPr>
                            <wps:txbx>
                              <w:txbxContent>
                                <w:p w14:paraId="5D18D890" w14:textId="77777777" w:rsidR="00157B9E" w:rsidRPr="003911F2" w:rsidRDefault="00157B9E" w:rsidP="00157B9E">
                                  <w:pPr>
                                    <w:spacing w:after="0" w:line="240" w:lineRule="auto"/>
                                    <w:jc w:val="center"/>
                                    <w:rPr>
                                      <w:b/>
                                      <w:bCs/>
                                      <w:sz w:val="16"/>
                                      <w:szCs w:val="16"/>
                                    </w:rPr>
                                  </w:pPr>
                                  <w:r>
                                    <w:rPr>
                                      <w:b/>
                                      <w:bCs/>
                                      <w:sz w:val="16"/>
                                      <w:szCs w:val="16"/>
                                    </w:rPr>
                                    <w:t>M</w:t>
                                  </w:r>
                                  <w:r w:rsidRPr="00931EC1">
                                    <w:rPr>
                                      <w:b/>
                                      <w:bCs/>
                                      <w:sz w:val="16"/>
                                      <w:szCs w:val="16"/>
                                    </w:rPr>
                                    <w:t xml:space="preserve">atériel </w:t>
                                  </w:r>
                                  <w:r w:rsidRPr="00931EC1">
                                    <w:rPr>
                                      <w:b/>
                                      <w:bCs/>
                                      <w:sz w:val="16"/>
                                      <w:szCs w:val="16"/>
                                    </w:rPr>
                                    <w:t>réutilisable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136696815" name="Zone de texte 11"/>
                        <wps:cNvSpPr txBox="1"/>
                        <wps:spPr>
                          <a:xfrm>
                            <a:off x="3347499" y="4428876"/>
                            <a:ext cx="1547526" cy="218440"/>
                          </a:xfrm>
                          <a:prstGeom prst="rect">
                            <a:avLst/>
                          </a:prstGeom>
                          <a:solidFill>
                            <a:sysClr val="window" lastClr="FFFFFF"/>
                          </a:solidFill>
                          <a:ln w="6350">
                            <a:noFill/>
                          </a:ln>
                        </wps:spPr>
                        <wps:txbx>
                          <w:txbxContent>
                            <w:p w14:paraId="1D38F284" w14:textId="77777777" w:rsidR="00157B9E" w:rsidRPr="003911F2" w:rsidRDefault="00157B9E" w:rsidP="00157B9E">
                              <w:pPr>
                                <w:spacing w:after="0" w:line="240" w:lineRule="auto"/>
                                <w:jc w:val="center"/>
                                <w:rPr>
                                  <w:b/>
                                  <w:bCs/>
                                  <w:sz w:val="16"/>
                                  <w:szCs w:val="16"/>
                                </w:rPr>
                              </w:pPr>
                              <w:r>
                                <w:rPr>
                                  <w:b/>
                                  <w:bCs/>
                                  <w:sz w:val="16"/>
                                  <w:szCs w:val="16"/>
                                </w:rPr>
                                <w:t>Aiguilles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56E74C74" id="Groupe 23" o:spid="_x0000_s1026" style="position:absolute;left:0;text-align:left;margin-left:0;margin-top:0;width:452.3pt;height:521.25pt;z-index:251659264" coordsize="57444,6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">
                <v:group id="Groupe 22" o:spid="_x0000_s1027" style="position:absolute;width:57444;height:66195" coordsize="57444,6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">
                  <v:shapetype id="_x0000_t202" coordsize="21600,21600" o:spt="202" path="m,l,21600r21600,l21600,xe">
                    <v:stroke joinstyle="miter"/>
                    <v:path gradientshapeok="t" o:connecttype="rect"/>
                  </v:shapetype>
                  <v:shape id="Zone de texte 12" o:spid="_x0000_s1028" type="#_x0000_t202" style="position:absolute;width:57444;height:66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" fillcolor="white [3201]" stroked="f" strokeweight=".5pt">
                    <v:textbox>
                      <w:txbxContent>
                        <w:p w14:paraId="033B882F" w14:textId="77777777" w:rsidR="00157B9E" w:rsidRDefault="00157B9E" w:rsidP="00157B9E">
                          <w:pPr>
                            <w:spacing w:after="0" w:line="240" w:lineRule="auto"/>
                            <w:rPr>
                              <w:rFonts w:cs="Times New Roman"/>
                              <w:noProof/>
                              <w:sz w:val="24"/>
                              <w:szCs w:val="24"/>
                            </w:rPr>
                          </w:pPr>
                        </w:p>
                        <w:p w14:paraId="1DE4135F" w14:textId="77777777" w:rsidR="00157B9E" w:rsidRDefault="00157B9E" w:rsidP="00157B9E">
                          <w:pPr>
                            <w:spacing w:after="0" w:line="240" w:lineRule="auto"/>
                          </w:pPr>
                          <w:r>
                            <w:rPr>
                              <w:rFonts w:cs="Times New Roman"/>
                              <w:noProof/>
                              <w:sz w:val="24"/>
                              <w:szCs w:val="24"/>
                            </w:rPr>
                            <w:drawing>
                              <wp:inline distT="0" distB="0" distL="0" distR="0" wp14:anchorId="2616E4A6" wp14:editId="574E7A23">
                                <wp:extent cx="2840265" cy="1995900"/>
                                <wp:effectExtent l="0" t="0" r="0" b="4445"/>
                                <wp:docPr id="152121857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0265" cy="1995900"/>
                                        </a:xfrm>
                                        <a:prstGeom prst="rect">
                                          <a:avLst/>
                                        </a:prstGeom>
                                        <a:noFill/>
                                      </pic:spPr>
                                    </pic:pic>
                                  </a:graphicData>
                                </a:graphic>
                              </wp:inline>
                            </w:drawing>
                          </w:r>
                          <w:r>
                            <w:rPr>
                              <w:rFonts w:cs="Times New Roman"/>
                              <w:noProof/>
                              <w:sz w:val="24"/>
                              <w:szCs w:val="24"/>
                            </w:rPr>
                            <w:t xml:space="preserve"> </w:t>
                          </w:r>
                          <w:r>
                            <w:rPr>
                              <w:rFonts w:cs="Times New Roman"/>
                              <w:noProof/>
                              <w:sz w:val="24"/>
                              <w:szCs w:val="24"/>
                            </w:rPr>
                            <w:drawing>
                              <wp:inline distT="0" distB="0" distL="0" distR="0" wp14:anchorId="78B075A4" wp14:editId="249E081F">
                                <wp:extent cx="2653442" cy="2018842"/>
                                <wp:effectExtent l="0" t="0" r="0" b="635"/>
                                <wp:docPr id="19977679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53442" cy="2018842"/>
                                        </a:xfrm>
                                        <a:prstGeom prst="rect">
                                          <a:avLst/>
                                        </a:prstGeom>
                                        <a:noFill/>
                                      </pic:spPr>
                                    </pic:pic>
                                  </a:graphicData>
                                </a:graphic>
                              </wp:inline>
                            </w:drawing>
                          </w:r>
                        </w:p>
                        <w:p w14:paraId="51C7E201" w14:textId="77777777" w:rsidR="00157B9E" w:rsidRDefault="00157B9E" w:rsidP="00157B9E">
                          <w:pPr>
                            <w:spacing w:after="0" w:line="240" w:lineRule="auto"/>
                            <w:rPr>
                              <w:rFonts w:cs="Times New Roman"/>
                              <w:noProof/>
                              <w:sz w:val="24"/>
                              <w:szCs w:val="24"/>
                            </w:rPr>
                          </w:pPr>
                          <w:r>
                            <w:t xml:space="preserve"> </w:t>
                          </w:r>
                        </w:p>
                        <w:p w14:paraId="7C361D92" w14:textId="77777777" w:rsidR="00157B9E" w:rsidRDefault="00157B9E" w:rsidP="00157B9E">
                          <w:pPr>
                            <w:spacing w:after="0" w:line="240" w:lineRule="auto"/>
                            <w:rPr>
                              <w:rFonts w:cs="Times New Roman"/>
                              <w:noProof/>
                              <w:sz w:val="24"/>
                              <w:szCs w:val="24"/>
                            </w:rPr>
                          </w:pPr>
                        </w:p>
                        <w:p w14:paraId="431968BE" w14:textId="77777777" w:rsidR="00157B9E" w:rsidRDefault="00157B9E" w:rsidP="00157B9E">
                          <w:pPr>
                            <w:spacing w:after="0" w:line="240" w:lineRule="auto"/>
                            <w:rPr>
                              <w:rFonts w:cs="Times New Roman"/>
                              <w:noProof/>
                              <w:sz w:val="24"/>
                              <w:szCs w:val="24"/>
                            </w:rPr>
                          </w:pPr>
                          <w:r>
                            <w:rPr>
                              <w:rFonts w:cs="Times New Roman"/>
                              <w:noProof/>
                              <w:sz w:val="24"/>
                              <w:szCs w:val="24"/>
                            </w:rPr>
                            <w:drawing>
                              <wp:inline distT="0" distB="0" distL="0" distR="0" wp14:anchorId="5DAA4455" wp14:editId="680C5E1F">
                                <wp:extent cx="2765639" cy="1878167"/>
                                <wp:effectExtent l="0" t="0" r="0" b="8255"/>
                                <wp:docPr id="167030621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1275" cy="1970278"/>
                                        </a:xfrm>
                                        <a:prstGeom prst="rect">
                                          <a:avLst/>
                                        </a:prstGeom>
                                        <a:noFill/>
                                      </pic:spPr>
                                    </pic:pic>
                                  </a:graphicData>
                                </a:graphic>
                              </wp:inline>
                            </w:drawing>
                          </w:r>
                          <w:r>
                            <w:rPr>
                              <w:rFonts w:cs="Times New Roman"/>
                              <w:noProof/>
                              <w:sz w:val="24"/>
                              <w:szCs w:val="24"/>
                            </w:rPr>
                            <w:t xml:space="preserve">  </w:t>
                          </w:r>
                          <w:r>
                            <w:rPr>
                              <w:rFonts w:cs="Times New Roman"/>
                              <w:noProof/>
                              <w:sz w:val="24"/>
                              <w:szCs w:val="24"/>
                            </w:rPr>
                            <w:drawing>
                              <wp:inline distT="0" distB="0" distL="0" distR="0" wp14:anchorId="3D83C505" wp14:editId="032A3107">
                                <wp:extent cx="2596515" cy="1860985"/>
                                <wp:effectExtent l="0" t="0" r="0" b="6350"/>
                                <wp:docPr id="178407173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68652" cy="1912687"/>
                                        </a:xfrm>
                                        <a:prstGeom prst="rect">
                                          <a:avLst/>
                                        </a:prstGeom>
                                        <a:noFill/>
                                      </pic:spPr>
                                    </pic:pic>
                                  </a:graphicData>
                                </a:graphic>
                              </wp:inline>
                            </w:drawing>
                          </w:r>
                          <w:r>
                            <w:rPr>
                              <w:rFonts w:cs="Times New Roman"/>
                              <w:noProof/>
                              <w:sz w:val="24"/>
                              <w:szCs w:val="24"/>
                            </w:rPr>
                            <w:t xml:space="preserve">  </w:t>
                          </w:r>
                        </w:p>
                        <w:p w14:paraId="40D420DB" w14:textId="77777777" w:rsidR="00157B9E" w:rsidRDefault="00157B9E" w:rsidP="00157B9E">
                          <w:pPr>
                            <w:spacing w:after="0" w:line="240" w:lineRule="auto"/>
                            <w:rPr>
                              <w:rFonts w:cs="Times New Roman"/>
                              <w:noProof/>
                              <w:sz w:val="24"/>
                              <w:szCs w:val="24"/>
                            </w:rPr>
                          </w:pPr>
                        </w:p>
                        <w:p w14:paraId="24FD579D" w14:textId="77777777" w:rsidR="00157B9E" w:rsidRDefault="00157B9E" w:rsidP="00157B9E">
                          <w:pPr>
                            <w:spacing w:after="0" w:line="240" w:lineRule="auto"/>
                          </w:pPr>
                          <w:r>
                            <w:rPr>
                              <w:rFonts w:cs="Times New Roman"/>
                              <w:b/>
                              <w:bCs/>
                              <w:noProof/>
                              <w:sz w:val="24"/>
                              <w:szCs w:val="24"/>
                            </w:rPr>
                            <w:drawing>
                              <wp:inline distT="0" distB="0" distL="0" distR="0" wp14:anchorId="04A795B7" wp14:editId="2C273B7E">
                                <wp:extent cx="2715151" cy="1906488"/>
                                <wp:effectExtent l="0" t="0" r="9525" b="0"/>
                                <wp:docPr id="151317374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1457" cy="1924959"/>
                                        </a:xfrm>
                                        <a:prstGeom prst="rect">
                                          <a:avLst/>
                                        </a:prstGeom>
                                        <a:noFill/>
                                      </pic:spPr>
                                    </pic:pic>
                                  </a:graphicData>
                                </a:graphic>
                              </wp:inline>
                            </w:drawing>
                          </w:r>
                          <w:r>
                            <w:rPr>
                              <w:rFonts w:cs="Times New Roman"/>
                              <w:noProof/>
                              <w:sz w:val="24"/>
                              <w:szCs w:val="24"/>
                            </w:rPr>
                            <w:t xml:space="preserve">   </w:t>
                          </w:r>
                          <w:r>
                            <w:rPr>
                              <w:rFonts w:cs="Times New Roman"/>
                              <w:noProof/>
                              <w:sz w:val="24"/>
                              <w:szCs w:val="24"/>
                            </w:rPr>
                            <w:drawing>
                              <wp:inline distT="0" distB="0" distL="0" distR="0" wp14:anchorId="7822091B" wp14:editId="4CC4588A">
                                <wp:extent cx="2597275" cy="1901694"/>
                                <wp:effectExtent l="0" t="0" r="0" b="3810"/>
                                <wp:docPr id="172334948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0068" cy="1947670"/>
                                        </a:xfrm>
                                        <a:prstGeom prst="rect">
                                          <a:avLst/>
                                        </a:prstGeom>
                                        <a:noFill/>
                                      </pic:spPr>
                                    </pic:pic>
                                  </a:graphicData>
                                </a:graphic>
                              </wp:inline>
                            </w:drawing>
                          </w:r>
                          <w:r>
                            <w:rPr>
                              <w:rFonts w:cs="Times New Roman"/>
                              <w:noProof/>
                              <w:sz w:val="24"/>
                              <w:szCs w:val="24"/>
                            </w:rPr>
                            <w:t xml:space="preserve">                                                                         </w:t>
                          </w:r>
                          <w:r>
                            <w:t xml:space="preserve"> </w:t>
                          </w:r>
                        </w:p>
                      </w:txbxContent>
                    </v:textbox>
                  </v:shape>
                  <v:group id="Groupe 17" o:spid="_x0000_s1029" style="position:absolute;left:4532;top:238;width:48020;height:46726" coordsize="48020,46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">
                    <v:shape id="Zone de texte 11" o:spid="_x0000_s1030" type="#_x0000_t202" style="position:absolute;left:2355;top:336;width:9916;height:2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" fillcolor="white [3201]" stroked="f" strokeweight=".5pt">
                      <v:textbox>
                        <w:txbxContent>
                          <w:p w14:paraId="238594CE" w14:textId="77777777" w:rsidR="00157B9E" w:rsidRPr="003911F2" w:rsidRDefault="00157B9E" w:rsidP="00157B9E">
                            <w:pPr>
                              <w:spacing w:after="0" w:line="240" w:lineRule="auto"/>
                              <w:rPr>
                                <w:b/>
                                <w:bCs/>
                                <w:sz w:val="16"/>
                                <w:szCs w:val="16"/>
                              </w:rPr>
                            </w:pPr>
                            <w:r w:rsidRPr="003911F2">
                              <w:rPr>
                                <w:b/>
                                <w:bCs/>
                                <w:sz w:val="16"/>
                                <w:szCs w:val="16"/>
                              </w:rPr>
                              <w:t xml:space="preserve">Lavage des mains </w:t>
                            </w:r>
                          </w:p>
                        </w:txbxContent>
                      </v:textbox>
                    </v:shape>
                    <v:shape id="Zone de texte 11" o:spid="_x0000_s1031" type="#_x0000_t202" style="position:absolute;left:31751;width:12788;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" fillcolor="window" stroked="f" strokeweight=".5pt">
                      <v:textbox>
                        <w:txbxContent>
                          <w:p w14:paraId="56AA612D" w14:textId="77777777" w:rsidR="00157B9E" w:rsidRPr="003911F2" w:rsidRDefault="00157B9E" w:rsidP="00157B9E">
                            <w:pPr>
                              <w:spacing w:after="0" w:line="240" w:lineRule="auto"/>
                              <w:jc w:val="center"/>
                              <w:rPr>
                                <w:b/>
                                <w:bCs/>
                                <w:sz w:val="16"/>
                                <w:szCs w:val="16"/>
                              </w:rPr>
                            </w:pPr>
                            <w:r>
                              <w:rPr>
                                <w:b/>
                                <w:bCs/>
                                <w:sz w:val="16"/>
                                <w:szCs w:val="16"/>
                              </w:rPr>
                              <w:t xml:space="preserve">Port de </w:t>
                            </w:r>
                            <w:proofErr w:type="spellStart"/>
                            <w:r>
                              <w:rPr>
                                <w:b/>
                                <w:bCs/>
                                <w:sz w:val="16"/>
                                <w:szCs w:val="16"/>
                              </w:rPr>
                              <w:t>gants</w:t>
                            </w:r>
                            <w:proofErr w:type="spellEnd"/>
                          </w:p>
                        </w:txbxContent>
                      </v:textbox>
                    </v:shape>
                    <v:shape id="Zone de texte 11" o:spid="_x0000_s1032" type="#_x0000_t202" style="position:absolute;left:1458;top:23224;width:12788;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" fillcolor="window" stroked="f" strokeweight=".5pt">
                      <v:textbox>
                        <w:txbxContent>
                          <w:p w14:paraId="615ED9FB" w14:textId="77777777" w:rsidR="00157B9E" w:rsidRPr="003911F2" w:rsidRDefault="00157B9E" w:rsidP="00157B9E">
                            <w:pPr>
                              <w:spacing w:after="0" w:line="240" w:lineRule="auto"/>
                              <w:jc w:val="center"/>
                              <w:rPr>
                                <w:b/>
                                <w:bCs/>
                                <w:sz w:val="16"/>
                                <w:szCs w:val="16"/>
                              </w:rPr>
                            </w:pPr>
                            <w:r>
                              <w:rPr>
                                <w:b/>
                                <w:bCs/>
                                <w:sz w:val="16"/>
                                <w:szCs w:val="16"/>
                              </w:rPr>
                              <w:t>Port de masque</w:t>
                            </w:r>
                          </w:p>
                        </w:txbxContent>
                      </v:textbox>
                    </v:shape>
                    <v:shape id="Zone de texte 11" o:spid="_x0000_s1033" type="#_x0000_t202" style="position:absolute;left:29283;top:23224;width:18737;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" fillcolor="window" stroked="f" strokeweight=".5pt">
                      <v:textbox>
                        <w:txbxContent>
                          <w:p w14:paraId="0EDD5BD6" w14:textId="77777777" w:rsidR="00157B9E" w:rsidRPr="003911F2" w:rsidRDefault="00157B9E" w:rsidP="00157B9E">
                            <w:pPr>
                              <w:spacing w:after="0" w:line="240" w:lineRule="auto"/>
                              <w:jc w:val="center"/>
                              <w:rPr>
                                <w:b/>
                                <w:bCs/>
                                <w:sz w:val="16"/>
                                <w:szCs w:val="16"/>
                              </w:rPr>
                            </w:pPr>
                            <w:r>
                              <w:rPr>
                                <w:b/>
                                <w:bCs/>
                                <w:sz w:val="16"/>
                                <w:szCs w:val="16"/>
                              </w:rPr>
                              <w:t xml:space="preserve">Tenue </w:t>
                            </w:r>
                            <w:proofErr w:type="spellStart"/>
                            <w:r>
                              <w:rPr>
                                <w:b/>
                                <w:bCs/>
                                <w:sz w:val="16"/>
                                <w:szCs w:val="16"/>
                              </w:rPr>
                              <w:t>professionnelle</w:t>
                            </w:r>
                            <w:proofErr w:type="spellEnd"/>
                          </w:p>
                        </w:txbxContent>
                      </v:textbox>
                    </v:shape>
                    <v:shape id="Zone de texte 11" o:spid="_x0000_s1034" type="#_x0000_t202" style="position:absolute;top:44541;width:15475;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" fillcolor="window" stroked="f" strokeweight=".5pt">
                      <v:textbox>
                        <w:txbxContent>
                          <w:p w14:paraId="5D18D890" w14:textId="77777777" w:rsidR="00157B9E" w:rsidRPr="003911F2" w:rsidRDefault="00157B9E" w:rsidP="00157B9E">
                            <w:pPr>
                              <w:spacing w:after="0" w:line="240" w:lineRule="auto"/>
                              <w:jc w:val="center"/>
                              <w:rPr>
                                <w:b/>
                                <w:bCs/>
                                <w:sz w:val="16"/>
                                <w:szCs w:val="16"/>
                              </w:rPr>
                            </w:pPr>
                            <w:r>
                              <w:rPr>
                                <w:b/>
                                <w:bCs/>
                                <w:sz w:val="16"/>
                                <w:szCs w:val="16"/>
                              </w:rPr>
                              <w:t>M</w:t>
                            </w:r>
                            <w:r w:rsidRPr="00931EC1">
                              <w:rPr>
                                <w:b/>
                                <w:bCs/>
                                <w:sz w:val="16"/>
                                <w:szCs w:val="16"/>
                              </w:rPr>
                              <w:t xml:space="preserve">atériel </w:t>
                            </w:r>
                            <w:proofErr w:type="spellStart"/>
                            <w:r w:rsidRPr="00931EC1">
                              <w:rPr>
                                <w:b/>
                                <w:bCs/>
                                <w:sz w:val="16"/>
                                <w:szCs w:val="16"/>
                              </w:rPr>
                              <w:t>réutilisable</w:t>
                            </w:r>
                            <w:proofErr w:type="spellEnd"/>
                          </w:p>
                        </w:txbxContent>
                      </v:textbox>
                    </v:shape>
                  </v:group>
                </v:group>
                <v:shape id="Zone de texte 11" o:spid="_x0000_s1035" type="#_x0000_t202" style="position:absolute;left:33474;top:44288;width:15476;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" fillcolor="window" stroked="f" strokeweight=".5pt">
                  <v:textbox>
                    <w:txbxContent>
                      <w:p w14:paraId="1D38F284" w14:textId="77777777" w:rsidR="00157B9E" w:rsidRPr="003911F2" w:rsidRDefault="00157B9E" w:rsidP="00157B9E">
                        <w:pPr>
                          <w:spacing w:after="0" w:line="240" w:lineRule="auto"/>
                          <w:jc w:val="center"/>
                          <w:rPr>
                            <w:b/>
                            <w:bCs/>
                            <w:sz w:val="16"/>
                            <w:szCs w:val="16"/>
                          </w:rPr>
                        </w:pPr>
                        <w:r>
                          <w:rPr>
                            <w:b/>
                            <w:bCs/>
                            <w:sz w:val="16"/>
                            <w:szCs w:val="16"/>
                          </w:rPr>
                          <w:t>Aiguilles</w:t>
                        </w:r>
                      </w:p>
                    </w:txbxContent>
                  </v:textbox>
                </v:shape>
              </v:group>
            </w:pict>
          </mc:Fallback>
        </mc:AlternateContent>
      </w:r>
    </w:p>
    <w:p w14:paraId="23EB348B" w14:textId="77777777" w:rsidR="00673FF8" w:rsidRPr="000076D1" w:rsidRDefault="00000000" w:rsidP="00B34244">
      <w:pPr>
        <w:pStyle w:val="Titre1"/>
        <w:ind w:left="426"/>
        <w:rPr>
          <w:rFonts w:ascii="Arial Narrow" w:hAnsi="Arial Narrow"/>
          <w:sz w:val="24"/>
          <w:szCs w:val="24"/>
          <w:lang w:val="fr-FR"/>
        </w:rPr>
      </w:pPr>
      <w:r w:rsidRPr="000076D1">
        <w:rPr>
          <w:rFonts w:ascii="Arial Narrow" w:hAnsi="Arial Narrow"/>
          <w:sz w:val="24"/>
          <w:szCs w:val="24"/>
          <w:lang w:val="fr-FR"/>
        </w:rPr>
        <w:t>Discussion</w:t>
      </w:r>
    </w:p>
    <w:p w14:paraId="6BEBBA94" w14:textId="77777777" w:rsidR="00877352" w:rsidRPr="000076D1" w:rsidRDefault="00877352" w:rsidP="00877352">
      <w:pPr>
        <w:pStyle w:val="Commentaire"/>
        <w:spacing w:after="0" w:line="276" w:lineRule="auto"/>
        <w:jc w:val="both"/>
        <w:rPr>
          <w:rFonts w:ascii="Arial Narrow" w:eastAsiaTheme="minorEastAsia" w:hAnsi="Arial Narrow"/>
          <w:kern w:val="0"/>
          <w14:ligatures w14:val="none"/>
        </w:rPr>
      </w:pPr>
      <w:r w:rsidRPr="000076D1">
        <w:rPr>
          <w:rFonts w:ascii="Arial Narrow" w:eastAsiaTheme="minorEastAsia" w:hAnsi="Arial Narrow"/>
          <w:kern w:val="0"/>
          <w14:ligatures w14:val="none"/>
        </w:rPr>
        <w:t xml:space="preserve">La prévalence de l’hépatite E aiguë (portage de </w:t>
      </w:r>
      <w:proofErr w:type="spellStart"/>
      <w:r w:rsidRPr="000076D1">
        <w:rPr>
          <w:rFonts w:ascii="Arial Narrow" w:eastAsiaTheme="minorEastAsia" w:hAnsi="Arial Narrow"/>
          <w:kern w:val="0"/>
          <w14:ligatures w14:val="none"/>
        </w:rPr>
        <w:t>l’Ac</w:t>
      </w:r>
      <w:proofErr w:type="spellEnd"/>
      <w:r w:rsidRPr="000076D1">
        <w:rPr>
          <w:rFonts w:ascii="Arial Narrow" w:eastAsiaTheme="minorEastAsia" w:hAnsi="Arial Narrow"/>
          <w:kern w:val="0"/>
          <w14:ligatures w14:val="none"/>
        </w:rPr>
        <w:t xml:space="preserve"> anti HVE de type IgM) était très élevée dans la population de Barsalogho (83,8%) pendant la période de l’épidémie de 2020.  Cette situation montre que le virus responsable de cette épidémie s’est largement propagé dans la quasi-totalité de la population et pourrait s’expliquer par le fait des mauvaises conditions d’hygiène et d’assainissement. Il est en effet reconnu que le génotype 2 qui a été identifié comme responsable de l’épidémie est de transmission interhumaine par voie </w:t>
      </w:r>
      <w:proofErr w:type="spellStart"/>
      <w:r w:rsidRPr="000076D1">
        <w:rPr>
          <w:rFonts w:ascii="Arial Narrow" w:eastAsiaTheme="minorEastAsia" w:hAnsi="Arial Narrow"/>
          <w:kern w:val="0"/>
          <w14:ligatures w14:val="none"/>
        </w:rPr>
        <w:t>oro</w:t>
      </w:r>
      <w:proofErr w:type="spellEnd"/>
      <w:r w:rsidRPr="000076D1">
        <w:rPr>
          <w:rFonts w:ascii="Arial Narrow" w:eastAsiaTheme="minorEastAsia" w:hAnsi="Arial Narrow"/>
          <w:kern w:val="0"/>
          <w14:ligatures w14:val="none"/>
        </w:rPr>
        <w:t xml:space="preserve">-fécale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{"citationID":"4sRFx1Rz","properties":{"formattedCitation":"[8]","plainCitation":"[8]","noteIndex":0},"citationItems":[{"id":66,"uris":["http://zotero.org/users/local/m7QAMAKD/items/B5KU8S93"],"itemData":{"id":66,"type":"article-journal","abstract":"In October 2007, an epidemic of hepatitis E was suspected in Kitgum District of northern Uganda where no previous epidemics had been documented. This outbreak has progressed to become one of the largest hepatitis E outbreaks in the world. By June 2009, the epidemic had caused illness in &gt;10,196 persons and 160 deaths.","container-title":"Emerging Infectious Diseases","DOI":"10.3201/eid1601.090764","ISSN":"1080-6059","issue":"1","journalAbbreviation":"Emerg Infect Dis","language":"eng","note":"PMID: 20031058\nPMCID: PMC2874362","page":"126-129","source":"PubMed","title":"Hepatitis E epidemic, Uganda","volume":"16","author":[{"family":"Teshale","given":"Eyasu H."},{"family":"Howard","given":"Christopher M."},{"family":"Grytdal","given":"Scott P."},{"family":"Handzel","given":"Thomas R."},{"family":"Barry","given":"Vaughn"},{"family":"Kamili","given":"Saleem"},{"family":"Drobeniuc","given":"Jan"},{"family":"Okware","given":"Samuel"},{"family":"Downing","given":"Robert"},{"family":"Tappero","given":"Jordan W."},{"family":"Bakamutumaho","given":"Barnabas"},{"family":"Teo","given":"Chong Gee"},{"family":"Ward","given":"John W."},{"family":"Holmberg","given":"Scott D."},{"family":"Hu","given":"Dale J."}],"issued":{"date-parts":[["2010",1]]}}}],"schema":"https://github.com/citation-style-language/schema/raw/master/csl-citation.json"}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[8]</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 En outre, ce virus se répand facilement à travers l’eau de boisson contaminée lors des épidémies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{"citationID":"9tMSxJ8v","properties":{"formattedCitation":"[9]","plainCitation":"[9]","noteIndex":0},"citationItems":[{"id":72,"uris":["http://zotero.org/users/local/m7QAMAKD/items/R87XKBGG"],"itemData":{"id":72,"type":"article-journal","container-title":"The American journal of tropical medicine and hygiene","ISSN":"0002-9637","issue":"4","journalAbbreviation":"The American journal of tropical medicine and hygiene","page":"466-474","title":"Contrasting roles of rivers and wells as sources of drinking water on attack and fatality rates in a hepatitis E epidemic in Somalia.","volume":"51","author":[{"family":"Bile","given":"Khalif"},{"family":"Isse","given":"Abdullahi"},{"family":"Mohamud","given":"Osman"},{"family":"Allebeck","given":"Peter"},{"family":"Nilsson","given":"Lars"},{"family":"Norder","given":"Helene"},{"family":"Mushahwar","given":"Isa K"},{"family":"Magnius","given":"Lars O"}],"issued":{"date-parts":[["1994"]]}}}],"schema":"https://github.com/citation-style-language/schema/raw/master/csl-citation.json"}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[9]</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w:t>
      </w:r>
    </w:p>
    <w:p w14:paraId="4D61C13E" w14:textId="77777777" w:rsidR="00877352" w:rsidRPr="000076D1" w:rsidRDefault="00877352" w:rsidP="00533865">
      <w:pPr>
        <w:pStyle w:val="Commentaire"/>
        <w:spacing w:line="276" w:lineRule="auto"/>
        <w:jc w:val="both"/>
        <w:rPr>
          <w:rFonts w:ascii="Arial Narrow" w:eastAsiaTheme="minorEastAsia" w:hAnsi="Arial Narrow"/>
          <w:kern w:val="0"/>
          <w14:ligatures w14:val="none"/>
        </w:rPr>
      </w:pPr>
      <w:r w:rsidRPr="000076D1">
        <w:rPr>
          <w:rFonts w:ascii="Arial Narrow" w:eastAsiaTheme="minorEastAsia" w:hAnsi="Arial Narrow"/>
          <w:kern w:val="0"/>
          <w14:ligatures w14:val="none"/>
        </w:rPr>
        <w:t xml:space="preserve">La proportion de portage de </w:t>
      </w:r>
      <w:proofErr w:type="spellStart"/>
      <w:r w:rsidRPr="000076D1">
        <w:rPr>
          <w:rFonts w:ascii="Arial Narrow" w:eastAsiaTheme="minorEastAsia" w:hAnsi="Arial Narrow"/>
          <w:kern w:val="0"/>
          <w14:ligatures w14:val="none"/>
        </w:rPr>
        <w:t>l’Ac</w:t>
      </w:r>
      <w:proofErr w:type="spellEnd"/>
      <w:r w:rsidRPr="000076D1">
        <w:rPr>
          <w:rFonts w:ascii="Arial Narrow" w:eastAsiaTheme="minorEastAsia" w:hAnsi="Arial Narrow"/>
          <w:kern w:val="0"/>
          <w14:ligatures w14:val="none"/>
        </w:rPr>
        <w:t xml:space="preserve"> anti VHE était plus élevée chez les PDI que dans la population hôte (85,4% versus 69,21%). Ce résultat est cohérent avec les données de la littérature qui mettent l’accent sur la vulnérabilité des réfugiés et/ou personnes déplacées vis-à-vis de l’hépatite E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{"citationID":"VEDc354V","properties":{"formattedCitation":"[10]","plainCitation":"[10]","noteIndex":0},"citationItems":[{"id":251,"uris":["http://zotero.org/users/local/m7QAMAKD/items/BFHTH3NC"],"itemData":{"id":251,"type":"article-journal","abstract":"Large protracted outbreaks of hepatitis E virus (HEV) have been documented in displaced populations in Africa over the past decade though data are limited outside these exceptional settings. Serological studies can provide insights useful for improving surveillance and disease control. We conducted an age-stratified serological survey using samples previously collected for another research study from 206 residents of an internally displaced person camp in Juba, South Sudan. We tested serum for anti-HEV antibodies (IgM and IgG) and estimated the prevalence of recent and historical exposure to the virus. Using data on individuals' serostatus, camp arrival date, and state of origin, we used catalytic transmission models to estimate the relative risk of HEV infection in the camp compared with that in the participants' home states. The age-adjusted seroprevalence of anti-HEV IgG was 71% (95% confidence interval = 63–78), and 4% had evidence of recent exposure (IgM). We estimated HEV exposure rates to be more than 2-fold (hazard ratio = 2.3, 95% credible interval = 0.3–5.8) higher in the camp than in the participants' home states, although this difference was not statistically significant. HEV transmission may be higher than previously appreciated, even in the absence of reported cases. Improved surveillance in similar settings is needed to understand the burden of disease and minimize epidemic impact through early detection and response.","container-title":"The American Journal of Tropical Medicine and Hygiene","DOI":"10.4269/ajtmh.16-0620","ISSN":"0002-9637","issue":"6","journalAbbreviation":"Am J Trop Med Hyg","note":"PMID: 28719276\nPMCID: PMC5462562","page":"1296-1301","source":"PubMed Central","title":"High Hepatitis E Seroprevalence Among Displaced Persons in South Sudan","URL":"https://www.ncbi.nlm.nih.gov/pmc/articles/PMC5462562/","volume":"96","author":[{"family":"Azman","given":"Andrew S."},{"family":"Bouhenia","given":"Malika"},{"family":"Iyer","given":"Anita S."},{"family":"Rumunu","given":"John"},{"family":"Laku","given":"Richard Lino"},{"family":"Wamala","given":"Joseph F."},{"family":"Rodriguez-Barraquer","given":"Isabel"},{"family":"Lessler","given":"Justin"},{"family":"Gignoux","given":"Etienne"},{"family":"Luquero","given":"Francisco J."},{"family":"Leung","given":"Daniel T."},{"family":"Gurley","given":"Emily S."},{"family":"Ciglenecki","given":"Iza"}],"accessed":{"date-parts":[["2023",9,14]]},"issued":{"date-parts":[["2017",6,7]]}}}],"schema":"https://github.com/citation-style-language/schema/raw/master/csl-citation.json"}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[10]</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Il corrobore aussi l’explication des mauvaises conditions d’assainissement et d’hygiène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{"citationID":"cj7dUHHG","properties":{"formattedCitation":"[4,11]","plainCitation":"[4,11]","noteIndex":0},"citationItems":[{"id":25,"uris":["http://zotero.org/users/local/m7QAMAKD/items/UA7A5T4F"],"itemData":{"id":25,"type":"article-journal","abstract":"Hepatitis E virus is a common cause of acute viral hepatitis. We analyzed reports of hepatitis E outbreaks among forcibly displaced populations in sub-Saharan Africa during 2010-2020. Twelve independent outbreaks occurred, and &gt;30,000 cases were reported. Transmission was attributed to poor sanitation and overcrowding.","container-title":"Emerging Infectious Diseases","DOI":"10.3201/eid2805.212546","ISSN":"1080-6059","issue":"5","journalAbbreviation":"Emerg Infect Dis","language":"eng","note":"PMID: 35447070\nPMCID: PMC9045430","page":"1074-1076","source":"PubMed","title":"Viral Hepatitis E Outbreaks in Refugees and Internally Displaced Populations, sub-Saharan Africa, 2010-2020","volume":"28","author":[{"family":"Desai","given":"Angel N."},{"family":"Mohareb","given":"Amir M."},{"family":"Elkarsany","given":"Mubarak Mustafa"},{"family":"Desalegn","given":"Hailemichael"},{"family":"Madoff","given":"Lawrence C."},{"family":"Lassmann","given":"Britta"}],"issued":{"date-parts":[["2022",5]]}}},{"id":23,"uris":["http://zotero.org/users/local/m7QAMAKD/items/CRIEV4GF"],"itemData":{"id":23,"type":"article-journal","abstract":"Hepatitis E is an emerging endemic disease found across the African continent, but there are clear differences in epidemiology between North Africa and countries south of the Sahara. In this systematic review, Google scholar and PubMed databases were searched for peer-reviewed articles on HEV epidemiology. Publications meeting our inclusion criteria were critically reviewed to extract consistent findings and identify knowledge gaps. Hepatitis E has been reported in 25 of the 49 countries in Sub Saharan Africa. Mortality rates of 1-2% in the general population and ~ 20% in pregnant women. Outbreaks were closely linked to refugees and Internally Displaced Persons in camps which accounted for 50% of reported outbreaks. There was very little research and concrete evidence for sources of contamination and transmission routes. There are indications of zoonotic transmission of Hepatitis E Virus infection but further research in these fields is required.","container-title":"One Health (Amsterdam, Netherlands)","DOI":"10.1016/j.onehlt.2020.100186","ISSN":"2352-7714","journalAbbreviation":"One Health","language":"eng","note":"PMID: 33204807\nPMCID: PMC7653283","page":"100186","source":"PubMed","title":"Hepatitis E in Sub Saharan Africa - A significant emerging disease","volume":"11","author":[{"family":"Bagulo","given":"Husein"},{"family":"Majekodunmi","given":"Ayodele O."},{"family":"Welburn","given":"Susan C."}],"issued":{"date-parts":[["2021",6]]}}}],"schema":"https://github.com/citation-style-language/schema/raw/master/csl-citation.json"}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[4,11]</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En effet, compte-tenus de l’urgence de les loger et des flux importants de PDI difficilement prévisibles par des ONG humanitaires et le gouvernement du Burkina, ces derniers ne bénéficient pas toujours de conditions optimales de logement et d’accueil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{"citationID":"OrRtloKY","properties":{"formattedCitation":"[12]","plainCitation":"[12]","noteIndex":0},"citationItems":[{"id":63,"uris":["http://zotero.org/users/local/m7QAMAKD/items/ZWWUGSVL"],"itemData":{"id":63,"type":"article-journal","abstract":"INTRODUCTION: In low-income countries, Hepatitis E infection is a common cause of acute hepatitis. So far, only two recombinant vaccines (rHEV and HEV 239) have been developed against Hepatitis E virus (HEV). Of which HEV 239 is licensed in China, but is not yet available in any other country.\nOBJECTIVE: This study aims to discuss epidemiology, diagnosis, available vaccines for HEV, and provides an overview of 100 top-cited studies on HEV.\nMETHODS: A bibliometric analysis was conducted on the topic \"HEV\" through a systematic search of the Web of Science. The keywords used were \"Hepatitis E\" and retrieved articles were assessed for number of attributes.\nRESULTS: The search returned a total of 3,235 publications, cited 95,858 times with h-index 129. The main finding for the 100 top-cited articles on HEV showed: number of authors ranging from 1 to 23, cited references range from 4 to 304, global citations score per year range from 6.61 to 175, and global citations score range from 148 to 791. Of the 100 top-cited studies, the authors who published most articles are Purcell (n = 18), Meng (n = 17), and Emerson (n = 15). Most The largest share of articles on HEV was contributed by United States of America (n = 49) with 12,795 citations. The National Institute of Allergy andInfectious Diseases was leading institute with greatest number of publications (n = 16), cited 3,950 times.\nCONCLUSIONS: The studies conducted on HEV have increased over time. The information presented would be very useful in decision making for policy makers providing health care, and for academicians in providing a reference point for future research.","container-title":"Human Vaccines &amp; Immunotherapeutics","DOI":"10.1080/21645515.2020.1795458","ISSN":"2164-554X","issue":"3","journalAbbreviation":"Hum Vaccin Immunother","language":"eng","note":"PMID: 32755437\nPMCID: PMC7993234","page":"857-871","source":"PubMed","title":"Epidemiology, diagnosis, vaccines, and bibliometric analysis of the 100 top-cited studies on Hepatitis E virus","volume":"17","author":[{"family":"Ahmad","given":"Tauseef"},{"family":"Nasir","given":"Saima"},{"family":"Musa","given":"Taha Hussein"},{"family":"AlRyalat","given":"Saif Aldeen S."},{"family":"Khan","given":"Muhammad"},{"family":"Hui","given":"Jin"}],"issued":{"date-parts":[["2021",3,4]]}}}],"schema":"https://github.com/citation-style-language/schema/raw/master/csl-citation.json"}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[12]</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Le fait que l’épidémie soit survenue entre les mois de juin et de septembre, période de fortes précipitations pluvieuses au Burkina a aussi probablement joué un rôle favorable dans sa propagation. Les vulnérabilités, notamment des PDI sont accrues durant ces périodes. Les femmes étaient plus à risque d’hépatite E que les hommes ce qui constitue une caractéristique épidémiologique similaire rapportée par de nombreux auteurs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XGSINg48","properties":{"formattedCitation":"[13\\uc0\\u8211{}15]","plainCitation":"[13–15]","noteIndex":0},"citationItems":[{"id":73,"uris":["http://zotero.org/users/local/m7QAMAKD/items/9U6XUUWV"],"itemData":{"id":73,"type":"article-journal","container-title":"BMC infectious diseases","journalAbbreviation":"BMC infectious diseases","note":"publisher: Springer","page":"1-8","title":"Risk factors, person, place and time characteristics associated with Hepatitis E Virus outbreak in Napak District, Uganda","volume":"17","author":[{"family":"Amanya","given":"Geofrey"},{"family":"Kizito","given":"Samuel"},{"family":"Nabukenya","given":"Immaculate"},{"family":"Kalyango","given":"Joan"},{"family":"Atuheire","given":"Collins"},{"family":"Nansumba","given":"Hellen"},{"family":"Abwoye","given":"Stephen Akena"},{"family":"Opio","given":"Denis Nixon"},{"family":"Kibuuka","given":"Edrisa"},{"family":"Karamagi","given":"Charles"}],"issued":{"date-parts":[["2017"]]}}},{"id":94,"uris":["http://zotero.org/users/local/m7QAMAKD/items/MZNHDUKN"],"itemData":{"id":94,"type":"article-journal","abstract":"Hepatitis E virus (HEV) infection in developing countries is associated with poor hygiene, lack of clean drinking water, and inadequate sanitation. In this study, we report the first case investigation and describe the present situation of HEV outbreak within displaced persons camps in the Diffa region, Republic of Niger. The investigation showed the outbreak to be closely linked to unclean water supply, low hygiene, and sanitation facility standards. Between January and September 2017, a total of 1,917 HEV suspect cases were recorded from which 736 (38.4%) have been confirmed positive for HEV by reverse transcription polymerase chain reaction and enzyme linked immunosorbent assay. Overall, 38 (1.9%) deaths were recorded, including 17 (44.7%) pregnant women. The ongoing outbreak highlights poor drinking water quality and sanitation conditions in displaced persons camps in the Diffa region. Disease containment and patient care activities, particularly for pregnant women, may have resulted in decreased transmission of infection and deaths.","container-title":"The American Journal of Tropical Medicine and Hygiene","DOI":"10.4269/ajtmh.17-0950","ISSN":"0002-9637","issue":"4","journalAbbreviation":"Am J Trop Med Hyg","note":"PMID: 30062983\nPMCID: PMC6159588","page":"1055-1057","source":"PubMed Central","title":"Outbreak of Hepatitis E Virus Infection in Displaced Persons Camps in Diffa Region, Niger, 2017","URL":"https://www.ncbi.nlm.nih.gov/pmc/articles/PMC6159588/","volume":"99","author":[{"family":"Lagare","given":"Adamou"},{"family":"Ibrahim","given":"Alkassoum"},{"family":"Ousmane","given":"Sani"},{"family":"Issaka","given":"Bassira"},{"family":"Zaneidou","given":"Maman"},{"family":"Kadadé","given":"Goumbi"},{"family":"Testa","given":"Jean"}],"accessed":{"date-parts":[["2023",5,31]]},"issued":{"date-parts":[["2018",10]]}}},{"id":235,"uris":["http://zotero.org/users/local/m7QAMAKD/items/SNBAYMYJ"],"itemData":{"id":235,"type":"article-journal","abstract":"Purpose: Suddenly, many cases of fever with jaundice were reported from Sodala area at Jaipur. This outbreak of acute hepatitis at Jaipur Rajasthan was investigated for aetiology and subsequent phylogenetic analysis. Methods: Blood samples were collected from 106 symptomatic patients of acute hepatitis and 39 pregnant females (with or without symptoms of hepatitis) during an outbreak at Jaipur. The samples were tested for hepatitis A virus (HAV) and hepatitis E virus (HEV) by serological and molecular methods (polymerase chain reaction [PCR]). Sequencing of nested PCR product was done for phylogenetic analysis. Hepatitis B surface antigen (HBs antigen), anti-hepatitis C virus (HCV), anti-Leptospira and anti-scrub typhus IgM enzyme-linked immunosorbent assay (ELISA) was done for patients negative for HEV and HAV. Results: Among 106 symptomatic patients, HEV IgM was positive in 84/106 (79.2%) patients and HEV RNA in 72/106 (67.9%) patients. Among pregnant women, 6/39 (15.4%) were HEV IgM positive and 5/39 (12.8%) for HEV RNA. One (2.5%) pregnant woman died due to hepatitis. All the isolates belonged to genotype 1A of HEV. All HAV, HEV-negative samples were negative for HBs antigen, HCV antibody, Leptospira and scrub typhus IgM ELISA. Conclusion: The outbreak was due to HEV genotype 1A. The municipal water supply was contaminated and sanitary conditions and waste disposal were poor in the area. Boiling of drinking water, fixing the water supply pipes and frequent hand washing helped in controlling the outbreak.","container-title":"Indian Journal of Medical Microbiology","DOI":"10.4103/ijmm.IJMM_19_433","ISSN":"0255-0857","issue":"1","journalAbbreviation":"Indian Journal of Medical Microbiology","page":"46-51","source":"ScienceDirect","title":"Hepatitis E Outbreak in Jaipur due to Genotype IA","URL":"https://www.sciencedirect.com/science/article/pii/S0255085720314341","volume":"38","author":[{"family":"Malhotra","given":"Bharti"},{"family":"Deba","given":"Farah"},{"family":"Sharma","given":"Pratibha"},{"family":"Trivedi","given":"Khushbu"},{"family":"Tiwari","given":"Jitendra"},{"family":"Chouhan","given":"Aradhana"},{"family":"Singh","given":"Ruchi"},{"family":"Meena","given":"Deepa"},{"family":"Verma","given":"H. N."}],"accessed":{"date-parts":[["2023",9,13]]},"issued":{"date-parts":[["2020",1,1]]}}}],"schema":"https://github.com/citation-style-language/schema/raw/master/csl-citation.json"}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[13–15]</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soulignant ainsi une vulnérabilité plus accrue et la nécessité d’accorder plus d’attention aux femmes </w:t>
      </w:r>
      <w:r w:rsidRPr="000076D1">
        <w:rPr>
          <w:rFonts w:ascii="Arial Narrow" w:eastAsiaTheme="minorEastAsia" w:hAnsi="Arial Narrow"/>
          <w:kern w:val="0"/>
          <w14:ligatures w14:val="none"/>
        </w:rPr>
        <w:fldChar w:fldCharType="begin"/>
      </w:r>
      <w:r w:rsidRPr="000076D1">
        <w:rPr>
          <w:rFonts w:ascii="Arial Narrow" w:eastAsiaTheme="minorEastAsia" w:hAnsi="Arial Narrow"/>
          <w:kern w:val="0"/>
          <w14:ligatures w14:val="none"/>
        </w:rPr>
        <w:instrText xml:space="preserve"> ADDIN ZOTERO_ITEM CSL_CITATION {"citationID":"CQ2Ltc05","properties":{"formattedCitation":"[16,17]","plainCitation":"[16,17]","noteIndex":0},"citationItems":[{"id":213,"uris":["http://zotero.org/users/local/m7QAMAKD/items/9XUDA648"],"itemData":{"id":213,"type":"article-journal","abstract":"Background\nThere is still a dearth of knowledge on the burden of HEV infection in the global population of pregnant women. Therefore, we conducted a systematic review and meta-analysis to estimate the global burden of HEV infection in pregnancy.\n\nMethods\nWe searched PubMed, Embase, Web of Knowledge, and Global Index Medicus to identify articles published until January 26, 2020. We considered cross-sectional, case-control, and cohort studies reporting the immunoglobulins M HEV seroprevalence in asymptomatic and symptomatic (jaundice or elevated transaminases) pregnant women or investigating the association between HEV infection and maternofoetal outcomes. We used a random-effects model to pool studies. This review was registered with PROSPERO, CRD42018093820.\n\nResults\nFor HEV prevalence estimates, we included 52 studies (11,663 pregnant women). The seroprevalence was 3.5% (95% confidence interval: 1.4–6.4) in asymptomatic women (most of whom from high endemic areas). The prevalence in symptomatic women was 49.6% (42.6–56.7) with data only from HEV high endemic countries. In the multivariable meta-regression model, the prevalence was higher in symptomatic women compared to asymptomatic (adjusted prevalence odds ratio [aPOR]: 1.76; 95%CI: 1.61–1.91) and decreased with increasing year of publication (by 10-year) (aPOR: 0.90; 95%CI: 0.84–0.96). The proportion of HEV vertical transmission was 36.9% (13.3–64.2). Risk of bias was low, moderate and high respectively in 12 (23%), 37 (70%), and 4 studies (7%) addressing HEV prevalence estimation. HEV infection was associated with maternal deaths (pooled OR 7.17; 3.32–15.47), low birth weight (OR: 3.23; 1.71–6.10), small for gestational age (OR: 3.63; 1.25–10.49), preterm &lt;</w:instrText>
      </w:r>
      <w:r w:rsidRPr="000076D1">
        <w:rPr>
          <w:rFonts w:ascii="Arial" w:eastAsiaTheme="minorEastAsia" w:hAnsi="Arial" w:cs="Arial"/>
          <w:kern w:val="0"/>
          <w14:ligatures w14:val="none"/>
        </w:rPr>
        <w:instrText> </w:instrText>
      </w:r>
      <w:r w:rsidRPr="000076D1">
        <w:rPr>
          <w:rFonts w:ascii="Arial Narrow" w:eastAsiaTheme="minorEastAsia" w:hAnsi="Arial Narrow"/>
          <w:kern w:val="0"/>
          <w14:ligatures w14:val="none"/>
        </w:rPr>
        <w:instrText>32</w:instrText>
      </w:r>
      <w:r w:rsidRPr="000076D1">
        <w:rPr>
          <w:rFonts w:ascii="Arial" w:eastAsiaTheme="minorEastAsia" w:hAnsi="Arial" w:cs="Arial"/>
          <w:kern w:val="0"/>
          <w14:ligatures w14:val="none"/>
        </w:rPr>
        <w:instrText> </w:instrText>
      </w:r>
      <w:r w:rsidRPr="000076D1">
        <w:rPr>
          <w:rFonts w:ascii="Arial Narrow" w:eastAsiaTheme="minorEastAsia" w:hAnsi="Arial Narrow"/>
          <w:kern w:val="0"/>
          <w14:ligatures w14:val="none"/>
        </w:rPr>
        <w:instrText>weeks (OR: 4.18; 1.23–14.20), and preterm &lt;</w:instrText>
      </w:r>
      <w:r w:rsidRPr="000076D1">
        <w:rPr>
          <w:rFonts w:ascii="Arial" w:eastAsiaTheme="minorEastAsia" w:hAnsi="Arial" w:cs="Arial"/>
          <w:kern w:val="0"/>
          <w14:ligatures w14:val="none"/>
        </w:rPr>
        <w:instrText> </w:instrText>
      </w:r>
      <w:r w:rsidRPr="000076D1">
        <w:rPr>
          <w:rFonts w:ascii="Arial Narrow" w:eastAsiaTheme="minorEastAsia" w:hAnsi="Arial Narrow"/>
          <w:kern w:val="0"/>
          <w14:ligatures w14:val="none"/>
        </w:rPr>
        <w:instrText>37</w:instrText>
      </w:r>
      <w:r w:rsidRPr="000076D1">
        <w:rPr>
          <w:rFonts w:ascii="Arial" w:eastAsiaTheme="minorEastAsia" w:hAnsi="Arial" w:cs="Arial"/>
          <w:kern w:val="0"/>
          <w14:ligatures w14:val="none"/>
        </w:rPr>
        <w:instrText> </w:instrText>
      </w:r>
      <w:r w:rsidRPr="000076D1">
        <w:rPr>
          <w:rFonts w:ascii="Arial Narrow" w:eastAsiaTheme="minorEastAsia" w:hAnsi="Arial Narrow"/>
          <w:kern w:val="0"/>
          <w14:ligatures w14:val="none"/>
        </w:rPr>
        <w:instrText>weeks (OR: 3.45; 2.32</w:instrText>
      </w:r>
      <w:r w:rsidRPr="000076D1">
        <w:rPr>
          <w:rFonts w:ascii="Arial Narrow" w:eastAsiaTheme="minorEastAsia" w:hAnsi="Arial Narrow" w:cs="Arial Narrow"/>
          <w:kern w:val="0"/>
          <w14:ligatures w14:val="none"/>
        </w:rPr>
        <w:instrText>–</w:instrText>
      </w:r>
      <w:r w:rsidRPr="000076D1">
        <w:rPr>
          <w:rFonts w:ascii="Arial Narrow" w:eastAsiaTheme="minorEastAsia" w:hAnsi="Arial Narrow"/>
          <w:kern w:val="0"/>
          <w14:ligatures w14:val="none"/>
        </w:rPr>
        <w:instrText>5.13), stillbirth (OR: 2.61; 1.64</w:instrText>
      </w:r>
      <w:r w:rsidRPr="000076D1">
        <w:rPr>
          <w:rFonts w:ascii="Arial Narrow" w:eastAsiaTheme="minorEastAsia" w:hAnsi="Arial Narrow" w:cs="Arial Narrow"/>
          <w:kern w:val="0"/>
          <w14:ligatures w14:val="none"/>
        </w:rPr>
        <w:instrText>–</w:instrText>
      </w:r>
      <w:r w:rsidRPr="000076D1">
        <w:rPr>
          <w:rFonts w:ascii="Arial Narrow" w:eastAsiaTheme="minorEastAsia" w:hAnsi="Arial Narrow"/>
          <w:kern w:val="0"/>
          <w14:ligatures w14:val="none"/>
        </w:rPr>
        <w:instrText>4.14), intrauterine deaths (OR: 3.07; 2.13</w:instrText>
      </w:r>
      <w:r w:rsidRPr="000076D1">
        <w:rPr>
          <w:rFonts w:ascii="Arial Narrow" w:eastAsiaTheme="minorEastAsia" w:hAnsi="Arial Narrow" w:cs="Arial Narrow"/>
          <w:kern w:val="0"/>
          <w14:ligatures w14:val="none"/>
        </w:rPr>
        <w:instrText>–</w:instrText>
      </w:r>
      <w:r w:rsidRPr="000076D1">
        <w:rPr>
          <w:rFonts w:ascii="Arial Narrow" w:eastAsiaTheme="minorEastAsia" w:hAnsi="Arial Narrow"/>
          <w:kern w:val="0"/>
          <w14:ligatures w14:val="none"/>
        </w:rPr>
        <w:instrText>4.43), and not with miscarriage (OR: 1.74; 0.77</w:instrText>
      </w:r>
      <w:r w:rsidRPr="000076D1">
        <w:rPr>
          <w:rFonts w:ascii="Arial Narrow" w:eastAsiaTheme="minorEastAsia" w:hAnsi="Arial Narrow" w:cs="Arial Narrow"/>
          <w:kern w:val="0"/>
          <w14:ligatures w14:val="none"/>
        </w:rPr>
        <w:instrText>–</w:instrText>
      </w:r>
      <w:r w:rsidRPr="000076D1">
        <w:rPr>
          <w:rFonts w:ascii="Arial Narrow" w:eastAsiaTheme="minorEastAsia" w:hAnsi="Arial Narrow"/>
          <w:kern w:val="0"/>
          <w14:ligatures w14:val="none"/>
        </w:rPr>
        <w:instrText xml:space="preserve">3.90). All studies which assessed the association between HEV infection and maternofoetal outcomes had a moderate risk of bias.\n\nConclusions\nFindings from this study are suggestive of a high burden of HEV infection in pregnancy in high endemic countries, its association with poor maternofoetal outcomes, and a high rate of vertical transmission. This study supports the need for specific strategies to prevent exposure of pregnant women to HEV infection, especially in high endemic areas.","container-title":"BMC Pregnancy and Childbirth","DOI":"10.1186/s12884-020-03116-2","ISSN":"1471-2393","journalAbbreviation":"BMC Pregnancy Childbirth","note":"PMID: 32723309\nPMCID: PMC7388479","page":"426","source":"PubMed Central","title":"Burden of hepatitis E virus infection in pregnancy and maternofoetal outcomes: a systematic review and meta-analysis","title-short":"Burden of hepatitis E virus infection in pregnancy and maternofoetal outcomes","URL":"https://www.ncbi.nlm.nih.gov/pmc/articles/PMC7388479/","volume":"20","author":[{"family":"Bigna","given":"Jean Joel"},{"family":"Modiyinji","given":"Abdou Fatawou"},{"family":"Nansseu","given":"Jobert Richie"},{"family":"Amougou","given":"Marie A."},{"family":"Nola","given":"Moise"},{"family":"Kenmoe","given":"Sébastien"},{"family":"Temfack","given":"Elvis"},{"family":"Njouom","given":"Richard"}],"accessed":{"date-parts":[["2023",9,12]]},"issued":{"date-parts":[["2020",7,28]]}}},{"id":13,"uris":["http://zotero.org/users/local/m7QAMAKD/items/HR3ARZGC"],"itemData":{"id":13,"type":"article-journal","abstract":"Hepatitis E virus (HEV), identified over 30 years ago, remains a serious threat to life, health, and productivity in developing countries where access to clean water is limited. Recognition that HEV also circulates as a zoonotic and food-borne pathogen in developed countries is more recent. Even without treatment, most cases of HEV-related acute viral hepatitis (with or without jaundice) resolve within 1 to 2 months. However, HEV sometimes leads to acute liver failure, chronic infection, or extrahepatic symptoms. The mechanisms of pathogenesis appear to be substantially immune mediated. This review covers the epidemiology of HEV infection worldwide, the humoral and cellular immune responses to HEV, and the persistence and protection of antibodies produced in response to both natural infection and vaccines. We focus on the contributions of altered immune states (associated with pregnancy, human immunodeficiency virus [HIV], and immunosuppressive agents used in cancer and transplant medicine) to the elevated risks of chronic infection (in immunosuppressed/immunocompromised patients) and acute liver failure and mortality (among pregnant women). We conclude by discussing outstanding questions about the immune response to HEV and interactions with hormones and comorbid conditions. These questions take on heightened importance now that a vaccine is available.","container-title":"Clinical Microbiology Reviews","DOI":"10.1128/CMR.00062-13","ISSN":"1098-6618","issue":"1","journalAbbreviation":"Clin Microbiol Rev","language":"eng","note":"PMID: 24396140\nPMCID: PMC3910912","page":"139-165","source":"PubMed","title":"Host immune status and response to hepatitis E virus infection","volume":"27","author":[{"family":"Krain","given":"Lisa J."},{"family":"Nelson","given":"Kenrad E."},{"family":"Labrique","given":"Alain B."}],"issued":{"date-parts":[["2014",1]]}}}],"schema":"https://github.com/citation-style-language/schema/raw/master/csl-citation.json"} </w:instrText>
      </w:r>
      <w:r w:rsidRPr="000076D1">
        <w:rPr>
          <w:rFonts w:ascii="Arial Narrow" w:eastAsiaTheme="minorEastAsia" w:hAnsi="Arial Narrow"/>
          <w:kern w:val="0"/>
          <w14:ligatures w14:val="none"/>
        </w:rPr>
        <w:fldChar w:fldCharType="separate"/>
      </w:r>
      <w:r w:rsidRPr="000076D1">
        <w:rPr>
          <w:rFonts w:ascii="Arial Narrow" w:eastAsiaTheme="minorEastAsia" w:hAnsi="Arial Narrow"/>
          <w:kern w:val="0"/>
          <w14:ligatures w14:val="none"/>
        </w:rPr>
        <w:t>[16,17]</w:t>
      </w:r>
      <w:r w:rsidRPr="000076D1">
        <w:rPr>
          <w:rFonts w:ascii="Arial Narrow" w:eastAsiaTheme="minorEastAsia" w:hAnsi="Arial Narrow"/>
          <w:kern w:val="0"/>
          <w14:ligatures w14:val="none"/>
        </w:rPr>
        <w:fldChar w:fldCharType="end"/>
      </w:r>
      <w:r w:rsidRPr="000076D1">
        <w:rPr>
          <w:rFonts w:ascii="Arial Narrow" w:eastAsiaTheme="minorEastAsia" w:hAnsi="Arial Narrow"/>
          <w:kern w:val="0"/>
          <w14:ligatures w14:val="none"/>
        </w:rPr>
        <w:t xml:space="preserve"> . Ceci est d’autant plus vrai que parmi les quatre décès enregistrés, trois étaient des femmes. Il faut également noter que deux femmes parmi celles qui sont décédées étaient enceintes. Dans la mesure où il existe un vaccin contre l’hépatite E, les autorités sanitaires du Burkina et les ONG humanitaires devraient penser à l’administrer aux PDI et aux femmes afin de réduire les risques de survenue d’épidémie prochaine et des conséquences mortelles au cas où une épidémie surviendrait. Il faudrait bien sûr associer les travailleurs communautaires et les chercheurs pour réussir la proposition et la mise en œuvre d’une telle intervention.</w:t>
      </w:r>
    </w:p>
    <w:p w14:paraId="3A3F3C91" w14:textId="77777777" w:rsidR="00877352" w:rsidRPr="000076D1" w:rsidRDefault="00877352" w:rsidP="00877352">
      <w:pPr>
        <w:spacing w:after="0"/>
        <w:jc w:val="both"/>
        <w:rPr>
          <w:rFonts w:ascii="Arial Narrow" w:hAnsi="Arial Narrow"/>
          <w:sz w:val="20"/>
          <w:szCs w:val="20"/>
          <w:lang w:val="fr-FR"/>
        </w:rPr>
      </w:pPr>
      <w:r w:rsidRPr="000076D1">
        <w:rPr>
          <w:rFonts w:ascii="Arial Narrow" w:hAnsi="Arial Narrow"/>
          <w:sz w:val="20"/>
          <w:szCs w:val="20"/>
          <w:lang w:val="fr-FR"/>
        </w:rPr>
        <w:t xml:space="preserve">La fièvre était négativement associée à l’hépatite E. Elle pourrait s’expliquer par son caractère non spécifique dans le diagnostic dans notre étude. Ce résultat est compréhensible dans notre contexte où il existe de nombreuses maladies virales et parasitaires qui ont en commun la fièvre. En effet, sur 45 personnes qui avaient bénéficié d’un test de dépistage du paludisme, 73,3% avaient un résultat positif. Notre résultat est ainsi en faveur de l’effort des autorités sanitaires du Burkina Faso dans la mise en place de moyens diagnostics des pathologies infectieuses les plus courantes (par exemple le paludisme et la dengue) chez les populations. </w:t>
      </w:r>
    </w:p>
    <w:p w14:paraId="114B8CA5" w14:textId="3A7685AC" w:rsidR="00673FF8" w:rsidRDefault="00877352" w:rsidP="00157B9E">
      <w:pPr>
        <w:spacing w:after="0"/>
        <w:jc w:val="both"/>
        <w:rPr>
          <w:rFonts w:ascii="Arial Narrow" w:hAnsi="Arial Narrow"/>
          <w:sz w:val="20"/>
          <w:szCs w:val="20"/>
          <w:lang w:val="fr-FR"/>
        </w:rPr>
      </w:pPr>
      <w:r w:rsidRPr="000076D1">
        <w:rPr>
          <w:rFonts w:ascii="Arial Narrow" w:hAnsi="Arial Narrow"/>
          <w:sz w:val="20"/>
          <w:szCs w:val="20"/>
          <w:lang w:val="fr-FR"/>
        </w:rPr>
        <w:t xml:space="preserve">Notre étude comporte des limites. Tout d’abord, il faut dire que notre population a été probablement sélectionnée. En effet, les tests de détection de </w:t>
      </w:r>
      <w:proofErr w:type="spellStart"/>
      <w:r w:rsidRPr="000076D1">
        <w:rPr>
          <w:rFonts w:ascii="Arial Narrow" w:hAnsi="Arial Narrow"/>
          <w:sz w:val="20"/>
          <w:szCs w:val="20"/>
          <w:lang w:val="fr-FR"/>
        </w:rPr>
        <w:t>l’Ac</w:t>
      </w:r>
      <w:proofErr w:type="spellEnd"/>
      <w:r w:rsidRPr="000076D1">
        <w:rPr>
          <w:rFonts w:ascii="Arial Narrow" w:hAnsi="Arial Narrow"/>
          <w:sz w:val="20"/>
          <w:szCs w:val="20"/>
          <w:lang w:val="fr-FR"/>
        </w:rPr>
        <w:t xml:space="preserve"> anti VHE ont été effectués uniquement chez les personnes qui présentaient un ictère, un signe présomptif de l’hépatite E. De plus, il faut noter le fait que des tests n’aient pas été effectués chez toutes les personnes qui présentaient un ictère. Ceci est courant en situation d’épidémie, notamment lorsque l’on se rend compte au cours de son évolution de la spécificité d’un symptôme vis-à-vis de la pathologie. Cette pratique s’accompagne le plus souvent de la redéfinition des cas avec l’objectif de permettre une réponse rapide et efficace. Cette sélection de l’échantillon étudiée a donc pu entraîner une surestimation de la prévalence de l’hépatite E. Ensuite, la base de données </w:t>
      </w:r>
      <w:r w:rsidR="00157B9E" w:rsidRPr="00157B9E">
        <w:rPr>
          <w:rFonts w:ascii="Arial Narrow" w:hAnsi="Arial Narrow"/>
          <w:b/>
          <w:bCs/>
          <w:color w:val="1F497D" w:themeColor="text2"/>
          <w:sz w:val="20"/>
          <w:szCs w:val="20"/>
          <w:lang w:val="fr-FR"/>
        </w:rPr>
        <w:t>Figure 1</w:t>
      </w:r>
      <w:r w:rsidR="00157B9E" w:rsidRPr="00157B9E">
        <w:rPr>
          <w:rFonts w:ascii="Arial Narrow" w:hAnsi="Arial Narrow"/>
          <w:color w:val="1F497D" w:themeColor="text2"/>
          <w:sz w:val="20"/>
          <w:szCs w:val="20"/>
          <w:lang w:val="fr-FR"/>
        </w:rPr>
        <w:t> </w:t>
      </w:r>
      <w:r w:rsidR="00157B9E" w:rsidRPr="00157B9E">
        <w:rPr>
          <w:rFonts w:ascii="Arial Narrow" w:hAnsi="Arial Narrow"/>
          <w:sz w:val="20"/>
          <w:szCs w:val="20"/>
          <w:lang w:val="fr-FR"/>
        </w:rPr>
        <w:t>: Pratiques des PS au Burkina Faso en matière de respect des précautions standards de prévention des infections, 18 Septembre au 1er Octobre 2023, Burkina Faso.</w:t>
      </w:r>
    </w:p>
    <w:p w14:paraId="3A7FADA9" w14:textId="77777777" w:rsidR="00157B9E" w:rsidRDefault="00157B9E" w:rsidP="00157B9E">
      <w:pPr>
        <w:spacing w:after="0"/>
        <w:jc w:val="both"/>
        <w:rPr>
          <w:rFonts w:ascii="Arial Narrow" w:hAnsi="Arial Narrow"/>
          <w:sz w:val="20"/>
          <w:szCs w:val="20"/>
          <w:lang w:val="fr-FR"/>
        </w:rPr>
      </w:pPr>
    </w:p>
    <w:p w14:paraId="66DEFA5D" w14:textId="1F62B802" w:rsidR="00157B9E" w:rsidRDefault="00157B9E">
      <w:pPr>
        <w:rPr>
          <w:rFonts w:ascii="Arial Narrow" w:hAnsi="Arial Narrow"/>
          <w:lang w:val="fr-FR"/>
        </w:rPr>
      </w:pPr>
      <w:r>
        <w:rPr>
          <w:rFonts w:ascii="Arial Narrow" w:hAnsi="Arial Narrow"/>
          <w:lang w:val="fr-FR"/>
        </w:rPr>
        <w:br w:type="page"/>
      </w:r>
    </w:p>
    <w:p w14:paraId="2939EE9C" w14:textId="2E838DE5" w:rsidR="00157B9E" w:rsidRDefault="00157B9E" w:rsidP="00157B9E">
      <w:pPr>
        <w:jc w:val="both"/>
        <w:rPr>
          <w:rFonts w:ascii="Arial Narrow" w:hAnsi="Arial Narrow"/>
          <w:sz w:val="20"/>
          <w:szCs w:val="20"/>
          <w:lang w:val="fr-FR"/>
        </w:rPr>
      </w:pPr>
      <w:bookmarkStart w:id="9" w:name="_Toc152136580"/>
      <w:r w:rsidRPr="00157B9E">
        <w:rPr>
          <w:rFonts w:ascii="Arial Narrow" w:hAnsi="Arial Narrow"/>
          <w:b/>
          <w:bCs/>
          <w:color w:val="1F497D" w:themeColor="text2"/>
          <w:sz w:val="20"/>
          <w:szCs w:val="20"/>
          <w:lang w:val="fr-FR"/>
        </w:rPr>
        <w:lastRenderedPageBreak/>
        <w:t>Tableau 4</w:t>
      </w:r>
      <w:r w:rsidRPr="00157B9E">
        <w:rPr>
          <w:rFonts w:ascii="Arial Narrow" w:hAnsi="Arial Narrow"/>
          <w:color w:val="1F497D" w:themeColor="text2"/>
          <w:sz w:val="20"/>
          <w:szCs w:val="20"/>
          <w:lang w:val="fr-FR"/>
        </w:rPr>
        <w:t> </w:t>
      </w:r>
      <w:r w:rsidRPr="00157B9E">
        <w:rPr>
          <w:rFonts w:ascii="Arial Narrow" w:hAnsi="Arial Narrow"/>
          <w:sz w:val="20"/>
          <w:szCs w:val="20"/>
          <w:lang w:val="fr-FR"/>
        </w:rPr>
        <w:t>: Proportions moyennes des attitudes et pratiques conformes aux recommandations des précautions standards lors de soins à tout patient des PS participant à l'enquête ; 18 septembre au 1er octobre 2023 ; Burkina Faso</w:t>
      </w:r>
      <w:bookmarkEnd w:id="9"/>
    </w:p>
    <w:tbl>
      <w:tblPr>
        <w:tblStyle w:val="Grilledutableau"/>
        <w:tblW w:w="0" w:type="auto"/>
        <w:tblLook w:val="04A0" w:firstRow="1" w:lastRow="0" w:firstColumn="1" w:lastColumn="0" w:noHBand="0" w:noVBand="1"/>
      </w:tblPr>
      <w:tblGrid>
        <w:gridCol w:w="4837"/>
        <w:gridCol w:w="3803"/>
      </w:tblGrid>
      <w:tr w:rsidR="00157B9E" w:rsidRPr="00514CA4" w14:paraId="7DCC3E5D" w14:textId="77777777" w:rsidTr="00157B9E">
        <w:trPr>
          <w:trHeight w:val="525"/>
        </w:trPr>
        <w:tc>
          <w:tcPr>
            <w:tcW w:w="4837" w:type="dxa"/>
            <w:tcBorders>
              <w:top w:val="single" w:sz="8" w:space="0" w:color="1F497D" w:themeColor="text2"/>
              <w:left w:val="nil"/>
              <w:bottom w:val="single" w:sz="8" w:space="0" w:color="1F497D" w:themeColor="text2"/>
              <w:right w:val="nil"/>
            </w:tcBorders>
            <w:vAlign w:val="center"/>
          </w:tcPr>
          <w:p w14:paraId="7EAA9573" w14:textId="77777777" w:rsidR="00157B9E" w:rsidRPr="00157B9E" w:rsidRDefault="00157B9E" w:rsidP="00777483">
            <w:pPr>
              <w:rPr>
                <w:rFonts w:ascii="Arial Narrow" w:hAnsi="Arial Narrow"/>
                <w:b/>
                <w:bCs/>
                <w:sz w:val="20"/>
                <w:szCs w:val="20"/>
              </w:rPr>
            </w:pPr>
            <w:r w:rsidRPr="00157B9E">
              <w:rPr>
                <w:rFonts w:ascii="Arial Narrow" w:hAnsi="Arial Narrow"/>
                <w:b/>
                <w:bCs/>
                <w:sz w:val="20"/>
                <w:szCs w:val="20"/>
              </w:rPr>
              <w:t>Dimensions</w:t>
            </w:r>
          </w:p>
        </w:tc>
        <w:tc>
          <w:tcPr>
            <w:tcW w:w="3803" w:type="dxa"/>
            <w:tcBorders>
              <w:top w:val="single" w:sz="8" w:space="0" w:color="1F497D" w:themeColor="text2"/>
              <w:left w:val="nil"/>
              <w:bottom w:val="single" w:sz="8" w:space="0" w:color="1F497D" w:themeColor="text2"/>
              <w:right w:val="nil"/>
            </w:tcBorders>
            <w:vAlign w:val="center"/>
          </w:tcPr>
          <w:p w14:paraId="71344872" w14:textId="77777777" w:rsidR="00157B9E" w:rsidRPr="00157B9E" w:rsidRDefault="00157B9E" w:rsidP="00777483">
            <w:pPr>
              <w:jc w:val="center"/>
              <w:rPr>
                <w:rFonts w:ascii="Arial Narrow" w:hAnsi="Arial Narrow"/>
                <w:b/>
                <w:bCs/>
                <w:sz w:val="20"/>
                <w:szCs w:val="20"/>
                <w:lang w:val="fr-FR"/>
              </w:rPr>
            </w:pPr>
            <w:r w:rsidRPr="00157B9E">
              <w:rPr>
                <w:rFonts w:ascii="Arial Narrow" w:hAnsi="Arial Narrow"/>
                <w:b/>
                <w:bCs/>
                <w:sz w:val="20"/>
                <w:szCs w:val="20"/>
                <w:lang w:val="fr-FR"/>
              </w:rPr>
              <w:t>Moyenne des proportions conformes aux recommandations</w:t>
            </w:r>
          </w:p>
        </w:tc>
      </w:tr>
      <w:tr w:rsidR="00157B9E" w:rsidRPr="00157B9E" w14:paraId="1BCC4B7A" w14:textId="77777777" w:rsidTr="00157B9E">
        <w:trPr>
          <w:trHeight w:val="292"/>
        </w:trPr>
        <w:tc>
          <w:tcPr>
            <w:tcW w:w="4837" w:type="dxa"/>
            <w:tcBorders>
              <w:top w:val="single" w:sz="8" w:space="0" w:color="1F497D" w:themeColor="text2"/>
              <w:left w:val="nil"/>
              <w:bottom w:val="nil"/>
              <w:right w:val="nil"/>
            </w:tcBorders>
            <w:vAlign w:val="center"/>
          </w:tcPr>
          <w:p w14:paraId="1F8166DB" w14:textId="77777777" w:rsidR="00157B9E" w:rsidRPr="00157B9E" w:rsidRDefault="00157B9E" w:rsidP="00777483">
            <w:pPr>
              <w:rPr>
                <w:rFonts w:ascii="Arial Narrow" w:hAnsi="Arial Narrow"/>
                <w:sz w:val="20"/>
                <w:szCs w:val="20"/>
                <w:lang w:val="fr-FR"/>
              </w:rPr>
            </w:pPr>
            <w:r w:rsidRPr="00157B9E">
              <w:rPr>
                <w:rFonts w:ascii="Arial Narrow" w:hAnsi="Arial Narrow"/>
                <w:sz w:val="20"/>
                <w:szCs w:val="20"/>
                <w:lang w:val="fr-FR"/>
              </w:rPr>
              <w:t>Lavage et/ou désinfection des mains</w:t>
            </w:r>
          </w:p>
        </w:tc>
        <w:tc>
          <w:tcPr>
            <w:tcW w:w="3803" w:type="dxa"/>
            <w:tcBorders>
              <w:top w:val="single" w:sz="8" w:space="0" w:color="1F497D" w:themeColor="text2"/>
              <w:left w:val="nil"/>
              <w:bottom w:val="nil"/>
              <w:right w:val="nil"/>
            </w:tcBorders>
            <w:vAlign w:val="center"/>
          </w:tcPr>
          <w:p w14:paraId="425396C8"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26,0 %</w:t>
            </w:r>
          </w:p>
        </w:tc>
      </w:tr>
      <w:tr w:rsidR="00157B9E" w:rsidRPr="00157B9E" w14:paraId="6FC2087E" w14:textId="77777777" w:rsidTr="00157B9E">
        <w:trPr>
          <w:trHeight w:val="254"/>
        </w:trPr>
        <w:tc>
          <w:tcPr>
            <w:tcW w:w="4837" w:type="dxa"/>
            <w:tcBorders>
              <w:top w:val="nil"/>
              <w:left w:val="nil"/>
              <w:bottom w:val="nil"/>
              <w:right w:val="nil"/>
            </w:tcBorders>
            <w:vAlign w:val="center"/>
          </w:tcPr>
          <w:p w14:paraId="0778527A" w14:textId="77777777" w:rsidR="00157B9E" w:rsidRPr="00157B9E" w:rsidRDefault="00157B9E" w:rsidP="00777483">
            <w:pPr>
              <w:rPr>
                <w:rFonts w:ascii="Arial Narrow" w:hAnsi="Arial Narrow"/>
                <w:sz w:val="20"/>
                <w:szCs w:val="20"/>
              </w:rPr>
            </w:pPr>
            <w:r w:rsidRPr="00157B9E">
              <w:rPr>
                <w:rFonts w:ascii="Arial Narrow" w:hAnsi="Arial Narrow"/>
                <w:sz w:val="20"/>
                <w:szCs w:val="20"/>
              </w:rPr>
              <w:t xml:space="preserve">Port de </w:t>
            </w:r>
            <w:proofErr w:type="spellStart"/>
            <w:r w:rsidRPr="00157B9E">
              <w:rPr>
                <w:rFonts w:ascii="Arial Narrow" w:hAnsi="Arial Narrow"/>
                <w:sz w:val="20"/>
                <w:szCs w:val="20"/>
              </w:rPr>
              <w:t>gants</w:t>
            </w:r>
            <w:proofErr w:type="spellEnd"/>
          </w:p>
        </w:tc>
        <w:tc>
          <w:tcPr>
            <w:tcW w:w="3803" w:type="dxa"/>
            <w:tcBorders>
              <w:top w:val="nil"/>
              <w:left w:val="nil"/>
              <w:bottom w:val="nil"/>
              <w:right w:val="nil"/>
            </w:tcBorders>
            <w:vAlign w:val="center"/>
          </w:tcPr>
          <w:p w14:paraId="2E00CCEA"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55,5 %</w:t>
            </w:r>
          </w:p>
        </w:tc>
      </w:tr>
      <w:tr w:rsidR="00157B9E" w:rsidRPr="00157B9E" w14:paraId="33BACA4D" w14:textId="77777777" w:rsidTr="00157B9E">
        <w:trPr>
          <w:trHeight w:val="344"/>
        </w:trPr>
        <w:tc>
          <w:tcPr>
            <w:tcW w:w="4837" w:type="dxa"/>
            <w:tcBorders>
              <w:top w:val="nil"/>
              <w:left w:val="nil"/>
              <w:bottom w:val="nil"/>
              <w:right w:val="nil"/>
            </w:tcBorders>
            <w:vAlign w:val="center"/>
          </w:tcPr>
          <w:p w14:paraId="01CCC1AA" w14:textId="77777777" w:rsidR="00157B9E" w:rsidRPr="00157B9E" w:rsidRDefault="00157B9E" w:rsidP="00777483">
            <w:pPr>
              <w:rPr>
                <w:rFonts w:ascii="Arial Narrow" w:hAnsi="Arial Narrow"/>
                <w:sz w:val="20"/>
                <w:szCs w:val="20"/>
              </w:rPr>
            </w:pPr>
            <w:r w:rsidRPr="00157B9E">
              <w:rPr>
                <w:rFonts w:ascii="Arial Narrow" w:hAnsi="Arial Narrow"/>
                <w:sz w:val="20"/>
                <w:szCs w:val="20"/>
              </w:rPr>
              <w:t>Port de masques</w:t>
            </w:r>
          </w:p>
        </w:tc>
        <w:tc>
          <w:tcPr>
            <w:tcW w:w="3803" w:type="dxa"/>
            <w:tcBorders>
              <w:top w:val="nil"/>
              <w:left w:val="nil"/>
              <w:bottom w:val="nil"/>
              <w:right w:val="nil"/>
            </w:tcBorders>
            <w:vAlign w:val="center"/>
          </w:tcPr>
          <w:p w14:paraId="272E3BD9"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27,7 %</w:t>
            </w:r>
          </w:p>
        </w:tc>
      </w:tr>
      <w:tr w:rsidR="00157B9E" w:rsidRPr="00157B9E" w14:paraId="084C8346" w14:textId="77777777" w:rsidTr="00157B9E">
        <w:trPr>
          <w:trHeight w:val="264"/>
        </w:trPr>
        <w:tc>
          <w:tcPr>
            <w:tcW w:w="4837" w:type="dxa"/>
            <w:tcBorders>
              <w:top w:val="nil"/>
              <w:left w:val="nil"/>
              <w:bottom w:val="nil"/>
              <w:right w:val="nil"/>
            </w:tcBorders>
            <w:vAlign w:val="center"/>
          </w:tcPr>
          <w:p w14:paraId="1FEFCDFB" w14:textId="77777777" w:rsidR="00157B9E" w:rsidRPr="00157B9E" w:rsidRDefault="00157B9E" w:rsidP="00777483">
            <w:pPr>
              <w:rPr>
                <w:rFonts w:ascii="Arial Narrow" w:hAnsi="Arial Narrow"/>
                <w:sz w:val="20"/>
                <w:szCs w:val="20"/>
              </w:rPr>
            </w:pPr>
            <w:r w:rsidRPr="00157B9E">
              <w:rPr>
                <w:rFonts w:ascii="Arial Narrow" w:hAnsi="Arial Narrow"/>
                <w:sz w:val="20"/>
                <w:szCs w:val="20"/>
              </w:rPr>
              <w:t xml:space="preserve">Tenue </w:t>
            </w:r>
            <w:proofErr w:type="spellStart"/>
            <w:r w:rsidRPr="00157B9E">
              <w:rPr>
                <w:rFonts w:ascii="Arial Narrow" w:hAnsi="Arial Narrow"/>
                <w:sz w:val="20"/>
                <w:szCs w:val="20"/>
              </w:rPr>
              <w:t>professionnelle</w:t>
            </w:r>
            <w:proofErr w:type="spellEnd"/>
          </w:p>
        </w:tc>
        <w:tc>
          <w:tcPr>
            <w:tcW w:w="3803" w:type="dxa"/>
            <w:tcBorders>
              <w:top w:val="nil"/>
              <w:left w:val="nil"/>
              <w:bottom w:val="nil"/>
              <w:right w:val="nil"/>
            </w:tcBorders>
            <w:vAlign w:val="center"/>
          </w:tcPr>
          <w:p w14:paraId="4DBDE023"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40,5 %</w:t>
            </w:r>
          </w:p>
        </w:tc>
      </w:tr>
      <w:tr w:rsidR="00157B9E" w:rsidRPr="00157B9E" w14:paraId="1A85535F" w14:textId="77777777" w:rsidTr="00157B9E">
        <w:trPr>
          <w:trHeight w:val="509"/>
        </w:trPr>
        <w:tc>
          <w:tcPr>
            <w:tcW w:w="4837" w:type="dxa"/>
            <w:tcBorders>
              <w:top w:val="nil"/>
              <w:left w:val="nil"/>
              <w:bottom w:val="nil"/>
              <w:right w:val="nil"/>
            </w:tcBorders>
            <w:vAlign w:val="center"/>
          </w:tcPr>
          <w:p w14:paraId="7A54BEC3" w14:textId="77777777" w:rsidR="00157B9E" w:rsidRPr="00157B9E" w:rsidRDefault="00157B9E" w:rsidP="00777483">
            <w:pPr>
              <w:rPr>
                <w:rFonts w:ascii="Arial Narrow" w:hAnsi="Arial Narrow"/>
                <w:sz w:val="20"/>
                <w:szCs w:val="20"/>
                <w:lang w:val="fr-FR"/>
              </w:rPr>
            </w:pPr>
            <w:r w:rsidRPr="00157B9E">
              <w:rPr>
                <w:rFonts w:ascii="Arial Narrow" w:hAnsi="Arial Narrow"/>
                <w:sz w:val="20"/>
                <w:szCs w:val="20"/>
                <w:lang w:val="fr-FR"/>
              </w:rPr>
              <w:t>Gestion du matériel piquant ou tranchant</w:t>
            </w:r>
          </w:p>
        </w:tc>
        <w:tc>
          <w:tcPr>
            <w:tcW w:w="3803" w:type="dxa"/>
            <w:tcBorders>
              <w:top w:val="nil"/>
              <w:left w:val="nil"/>
              <w:bottom w:val="nil"/>
              <w:right w:val="nil"/>
            </w:tcBorders>
            <w:vAlign w:val="center"/>
          </w:tcPr>
          <w:p w14:paraId="202730BC"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18,8 %</w:t>
            </w:r>
          </w:p>
        </w:tc>
      </w:tr>
      <w:tr w:rsidR="00157B9E" w:rsidRPr="00157B9E" w14:paraId="279B8434" w14:textId="77777777" w:rsidTr="00157B9E">
        <w:trPr>
          <w:trHeight w:val="417"/>
        </w:trPr>
        <w:tc>
          <w:tcPr>
            <w:tcW w:w="4837" w:type="dxa"/>
            <w:tcBorders>
              <w:top w:val="nil"/>
              <w:left w:val="nil"/>
              <w:bottom w:val="nil"/>
              <w:right w:val="nil"/>
            </w:tcBorders>
            <w:vAlign w:val="center"/>
          </w:tcPr>
          <w:p w14:paraId="07DC2A66" w14:textId="77777777" w:rsidR="00157B9E" w:rsidRPr="00157B9E" w:rsidRDefault="00157B9E" w:rsidP="00777483">
            <w:pPr>
              <w:rPr>
                <w:rFonts w:ascii="Arial Narrow" w:hAnsi="Arial Narrow"/>
                <w:sz w:val="20"/>
                <w:szCs w:val="20"/>
                <w:lang w:val="fr-FR"/>
              </w:rPr>
            </w:pPr>
            <w:r w:rsidRPr="00157B9E">
              <w:rPr>
                <w:rFonts w:ascii="Arial Narrow" w:hAnsi="Arial Narrow"/>
                <w:sz w:val="20"/>
                <w:szCs w:val="20"/>
                <w:lang w:val="fr-FR"/>
              </w:rPr>
              <w:t>Vérification de la stérilisation où de la désinfection du matériel réutilisable avant utilisation</w:t>
            </w:r>
          </w:p>
        </w:tc>
        <w:tc>
          <w:tcPr>
            <w:tcW w:w="3803" w:type="dxa"/>
            <w:tcBorders>
              <w:top w:val="nil"/>
              <w:left w:val="nil"/>
              <w:bottom w:val="nil"/>
              <w:right w:val="nil"/>
            </w:tcBorders>
            <w:vAlign w:val="center"/>
          </w:tcPr>
          <w:p w14:paraId="24533817"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53,7 %</w:t>
            </w:r>
          </w:p>
        </w:tc>
      </w:tr>
      <w:tr w:rsidR="00157B9E" w:rsidRPr="00157B9E" w14:paraId="616AB9FE" w14:textId="77777777" w:rsidTr="00157B9E">
        <w:trPr>
          <w:trHeight w:val="327"/>
        </w:trPr>
        <w:tc>
          <w:tcPr>
            <w:tcW w:w="4837" w:type="dxa"/>
            <w:tcBorders>
              <w:top w:val="nil"/>
              <w:left w:val="nil"/>
              <w:bottom w:val="single" w:sz="8" w:space="0" w:color="1F497D" w:themeColor="text2"/>
              <w:right w:val="nil"/>
            </w:tcBorders>
            <w:vAlign w:val="center"/>
          </w:tcPr>
          <w:p w14:paraId="142B7B10" w14:textId="77777777" w:rsidR="00157B9E" w:rsidRPr="00157B9E" w:rsidRDefault="00157B9E" w:rsidP="00777483">
            <w:pPr>
              <w:rPr>
                <w:rFonts w:ascii="Arial Narrow" w:hAnsi="Arial Narrow"/>
                <w:sz w:val="20"/>
                <w:szCs w:val="20"/>
                <w:lang w:val="fr-FR"/>
              </w:rPr>
            </w:pPr>
            <w:r w:rsidRPr="00157B9E">
              <w:rPr>
                <w:rFonts w:ascii="Arial Narrow" w:hAnsi="Arial Narrow"/>
                <w:sz w:val="20"/>
                <w:szCs w:val="20"/>
                <w:lang w:val="fr-FR"/>
              </w:rPr>
              <w:t>Nettoyage et/ou désinfection des surfaces souillées avant tout soin</w:t>
            </w:r>
          </w:p>
        </w:tc>
        <w:tc>
          <w:tcPr>
            <w:tcW w:w="3803" w:type="dxa"/>
            <w:tcBorders>
              <w:top w:val="nil"/>
              <w:left w:val="nil"/>
              <w:bottom w:val="single" w:sz="8" w:space="0" w:color="1F497D" w:themeColor="text2"/>
              <w:right w:val="nil"/>
            </w:tcBorders>
            <w:vAlign w:val="center"/>
          </w:tcPr>
          <w:p w14:paraId="631CC2D1" w14:textId="77777777" w:rsidR="00157B9E" w:rsidRPr="00157B9E" w:rsidRDefault="00157B9E" w:rsidP="00777483">
            <w:pPr>
              <w:jc w:val="center"/>
              <w:rPr>
                <w:rFonts w:ascii="Arial Narrow" w:hAnsi="Arial Narrow"/>
                <w:sz w:val="20"/>
                <w:szCs w:val="20"/>
              </w:rPr>
            </w:pPr>
            <w:r w:rsidRPr="00157B9E">
              <w:rPr>
                <w:rFonts w:ascii="Arial Narrow" w:hAnsi="Arial Narrow"/>
                <w:sz w:val="20"/>
                <w:szCs w:val="20"/>
              </w:rPr>
              <w:t>65,8 %</w:t>
            </w:r>
          </w:p>
        </w:tc>
      </w:tr>
    </w:tbl>
    <w:p w14:paraId="276F5FC9" w14:textId="2D9617CD" w:rsidR="00157B9E" w:rsidRPr="00C61920" w:rsidRDefault="00157B9E" w:rsidP="00C61920">
      <w:pPr>
        <w:pStyle w:val="Titre1"/>
        <w:numPr>
          <w:ilvl w:val="0"/>
          <w:numId w:val="21"/>
        </w:numPr>
        <w:rPr>
          <w:rFonts w:ascii="Arial Narrow" w:hAnsi="Arial Narrow"/>
          <w:sz w:val="24"/>
          <w:szCs w:val="24"/>
          <w:lang w:val="fr-FR"/>
        </w:rPr>
      </w:pPr>
      <w:r w:rsidRPr="00C61920">
        <w:rPr>
          <w:rFonts w:ascii="Arial Narrow" w:hAnsi="Arial Narrow"/>
          <w:sz w:val="24"/>
          <w:szCs w:val="24"/>
          <w:lang w:val="fr-FR"/>
        </w:rPr>
        <w:t>Discussion</w:t>
      </w:r>
    </w:p>
    <w:p w14:paraId="71B7B2FE" w14:textId="77777777" w:rsidR="00157B9E" w:rsidRPr="00157B9E" w:rsidRDefault="00157B9E" w:rsidP="00157B9E">
      <w:pPr>
        <w:spacing w:after="0" w:line="240" w:lineRule="auto"/>
        <w:jc w:val="both"/>
        <w:rPr>
          <w:rFonts w:ascii="Arial Narrow" w:hAnsi="Arial Narrow"/>
          <w:sz w:val="20"/>
          <w:szCs w:val="20"/>
          <w:lang w:val="fr-FR"/>
        </w:rPr>
      </w:pPr>
      <w:r w:rsidRPr="00157B9E">
        <w:rPr>
          <w:rFonts w:ascii="Arial Narrow" w:hAnsi="Arial Narrow"/>
          <w:sz w:val="20"/>
          <w:szCs w:val="20"/>
          <w:lang w:val="fr-FR"/>
        </w:rPr>
        <w:t>Cette étude a évalué les connaissances et décrit les pratiques des prestataires de soins (PS) au Burkina Faso vis-à-vis des précautions standards de prévention des IAS. Six agents de santé sur 10 ont déclaré n’avoir jamais suivi de formation spécifique sur le thème de la prévention des IAS et seulement 15% avaient une bonne connaissance des précautions standards de prévention des IAS. La probabilité d’avoir de bonnes connaissances était significativement plus élevée pour les sage-femmes/maïeuticiens, et les PS déjà formés. Les pratiques étaient conformes aux recommandations standards chez 26% des PS pour le lavage/désinfection systématique des mains, 19% pour la gestion du matériel piquant/tranchant et 66% pour le nettoyage/désinfection des surfaces souillées.</w:t>
      </w:r>
    </w:p>
    <w:p w14:paraId="2F5AA379" w14:textId="77777777" w:rsidR="00157B9E" w:rsidRPr="00157B9E" w:rsidRDefault="00157B9E" w:rsidP="00157B9E">
      <w:pPr>
        <w:spacing w:after="0" w:line="240" w:lineRule="auto"/>
        <w:jc w:val="both"/>
        <w:rPr>
          <w:rFonts w:ascii="Arial Narrow" w:hAnsi="Arial Narrow"/>
          <w:sz w:val="20"/>
          <w:szCs w:val="20"/>
          <w:lang w:val="fr-FR"/>
        </w:rPr>
      </w:pPr>
      <w:r w:rsidRPr="00157B9E">
        <w:rPr>
          <w:rFonts w:ascii="Arial Narrow" w:hAnsi="Arial Narrow"/>
          <w:sz w:val="20"/>
          <w:szCs w:val="20"/>
          <w:lang w:val="fr-FR"/>
        </w:rPr>
        <w:t xml:space="preserve">Six PS sur 10 ont déclaré n’avoir jamais suivi de formation spécifique sur le thème de la prévention des infections associées aux soins. Cette proportion est comparable à celles rapportées par </w:t>
      </w:r>
      <w:proofErr w:type="spellStart"/>
      <w:r w:rsidRPr="00157B9E">
        <w:rPr>
          <w:rFonts w:ascii="Arial Narrow" w:hAnsi="Arial Narrow"/>
          <w:sz w:val="20"/>
          <w:szCs w:val="20"/>
          <w:lang w:val="fr-FR"/>
        </w:rPr>
        <w:t>Dossounon</w:t>
      </w:r>
      <w:proofErr w:type="spellEnd"/>
      <w:r w:rsidRPr="00157B9E">
        <w:rPr>
          <w:rFonts w:ascii="Arial Narrow" w:hAnsi="Arial Narrow"/>
          <w:sz w:val="20"/>
          <w:szCs w:val="20"/>
          <w:lang w:val="fr-FR"/>
        </w:rPr>
        <w:t xml:space="preserve"> et al, au Bénin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{"citationID":"JjlevovV","properties":{"formattedCitation":"[20]","plainCitation":"[20]","noteIndex":0},"citationItems":[{"id":"dRkYMcI2/2wuCMcQv","uris":["http://zotero.org/users/10711475/items/8ZFXE5VS"],"itemData":{"id":83,"type":"report","abstract":"Background : Depuis l’apparition de la pandémie de la COVID-19, la réduction du \nrisque de transmission interhumaine passe par le respect des bonnes pratiques d’hygiène \nhospitalière chez les professionnels de santé. Ceci étant un élément crucial en milieu de soin. \nObjectif : L'objectif de la présente étude est d’évaluer les pratiques d’hygiène hospitalière en \npériode de covid-19 à l'hôpital de zone de Cove. Méthodologie : Il s’agit d’une étude \ntransversale descriptive et évaluative réalisée sur 65 personnels soignant de l’hôpital. Une \nenquête par interview directe auprès du personnel soignant a permis d’évaluer la pratique et \nl'attitude du personnel hospitalier sur les mesures d’hygiène hospitalière. Pour y parvenir, \nnous nous sommes intéressés à deux volets de l’hygiène Hospitalière que sont l’hygiène des \nmains et le port de gants. La deuxième partie de l’étude a consisté à observer la disponibilité \ndes moyens pour une bonne hygiène dans chaque service de l'hôpital de zone de Covè. \nRésultat : On note un taux de 88% pour l’hygiène des mains quand il le faut et de 31% pour \nle port de gants quand il le faut. Il a aussi été constaté que l’hôpital dispose des moyens et \nmatériels nécessaires pour l’observance des précautions standards en hygiène hospitalière \n(80%) mise à part le faible taux obtenu (30%) pour la disponibilité des affiches AES et tri des \ndéchets dans les services et pour la disponibilité des mesures actualisées pour CAT en cas \nd’AES (20%). Conclusion : Il urge de mettre en place un comité de lutte contre les infections \nnosocomiales dans ce centre afin de renforcer les compétences des agents en matière \nd’hygiène hospitalière, de mettre à disposition les procédures en matière de précautions \nstandards en hygiène hospitalière.","genre":"Technical Report","language":"fr","note":"Accepted: 2022-08-04T18:36:07Z","publisher":"EPAC/UAC","source":"biblionumeric.epac-uac.org","title":"Evaluation des pratiques d’hygiène hospitalière en période de covid-19 à l’hôpital de zone de Covè","URL":"https://biblionumeric.epac-uac.org/jspui/jspui/handle/123456789/4702","author":[{"family":"Dossounon","given":"Patème Baudouin"},{"family":"Baba-Mousssa","given":"Farid"},{"family":"Dougnon","given":"Victorien"},{"family":"Noumavo","given":"Pacôme"},{"family":"Assogba","given":"Sandrine"}],"accessed":{"date-parts":[["2023",10,9]]},"issued":{"date-parts":[["2021"]]}}}],"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[20]</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w:t>
      </w:r>
      <w:proofErr w:type="spellStart"/>
      <w:r w:rsidRPr="00157B9E">
        <w:rPr>
          <w:rFonts w:ascii="Arial Narrow" w:hAnsi="Arial Narrow"/>
          <w:sz w:val="20"/>
          <w:szCs w:val="20"/>
          <w:lang w:val="fr-FR"/>
        </w:rPr>
        <w:t>Benboubker</w:t>
      </w:r>
      <w:proofErr w:type="spellEnd"/>
      <w:r w:rsidRPr="00157B9E">
        <w:rPr>
          <w:rFonts w:ascii="Arial Narrow" w:hAnsi="Arial Narrow"/>
          <w:sz w:val="20"/>
          <w:szCs w:val="20"/>
          <w:lang w:val="fr-FR"/>
        </w:rPr>
        <w:t xml:space="preserve"> et al, au Maroc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{"citationID":"DaprbhnN","properties":{"formattedCitation":"[21]","plainCitation":"[21]","noteIndex":0},"citationItems":[{"id":"dRkYMcI2/zr38FNDR","uris":["http://zotero.org/users/10711475/items/42JZIC22"],"itemData":{"id":86,"type":"article-journal","abstract":"This survey aims at assessing knowledge, attitudes and practices towards standard precautions [</w:instrText>
      </w:r>
      <w:r w:rsidRPr="00157B9E">
        <w:rPr>
          <w:rFonts w:ascii="Arial" w:hAnsi="Arial" w:cs="Arial"/>
          <w:sz w:val="20"/>
          <w:szCs w:val="20"/>
          <w:lang w:val="fr-FR"/>
        </w:rPr>
        <w:instrText>‎</w:instrText>
      </w:r>
      <w:r w:rsidRPr="00157B9E">
        <w:rPr>
          <w:rFonts w:ascii="Arial Narrow" w:hAnsi="Arial Narrow"/>
          <w:sz w:val="20"/>
          <w:szCs w:val="20"/>
          <w:lang w:val="fr-FR"/>
        </w:rPr>
        <w:instrText>SP]</w:instrText>
      </w:r>
      <w:r w:rsidRPr="00157B9E">
        <w:rPr>
          <w:rFonts w:ascii="Arial" w:hAnsi="Arial" w:cs="Arial"/>
          <w:sz w:val="20"/>
          <w:szCs w:val="20"/>
          <w:lang w:val="fr-FR"/>
        </w:rPr>
        <w:instrText>‎</w:instrText>
      </w:r>
      <w:r w:rsidRPr="00157B9E">
        <w:rPr>
          <w:rFonts w:ascii="Arial Narrow" w:hAnsi="Arial Narrow"/>
          <w:sz w:val="20"/>
          <w:szCs w:val="20"/>
          <w:lang w:val="fr-FR"/>
        </w:rPr>
        <w:instrText xml:space="preserve"> among caregivers at Hassan II University Teaching Hospital in Fes. This is a cross-sectional prospective and evaluative study that covers a two-month period. Data were collected using an anonymous and self-administered questionnaire. Sampling population was divided into 307 nurses [</w:instrText>
      </w:r>
      <w:r w:rsidRPr="00157B9E">
        <w:rPr>
          <w:rFonts w:ascii="Arial" w:hAnsi="Arial" w:cs="Arial"/>
          <w:sz w:val="20"/>
          <w:szCs w:val="20"/>
          <w:lang w:val="fr-FR"/>
        </w:rPr>
        <w:instrText>‎</w:instrText>
      </w:r>
      <w:r w:rsidRPr="00157B9E">
        <w:rPr>
          <w:rFonts w:ascii="Arial Narrow" w:hAnsi="Arial Narrow"/>
          <w:sz w:val="20"/>
          <w:szCs w:val="20"/>
          <w:lang w:val="fr-FR"/>
        </w:rPr>
        <w:instrText>53.8%]</w:instrText>
      </w:r>
      <w:r w:rsidRPr="00157B9E">
        <w:rPr>
          <w:rFonts w:ascii="Arial" w:hAnsi="Arial" w:cs="Arial"/>
          <w:sz w:val="20"/>
          <w:szCs w:val="20"/>
          <w:lang w:val="fr-FR"/>
        </w:rPr>
        <w:instrText>‎</w:instrText>
      </w:r>
      <w:r w:rsidRPr="00157B9E">
        <w:rPr>
          <w:rFonts w:ascii="Arial Narrow" w:hAnsi="Arial Narrow"/>
          <w:sz w:val="20"/>
          <w:szCs w:val="20"/>
          <w:lang w:val="fr-FR"/>
        </w:rPr>
        <w:instrText>, 210 hospital doctors [</w:instrText>
      </w:r>
      <w:r w:rsidRPr="00157B9E">
        <w:rPr>
          <w:rFonts w:ascii="Arial" w:hAnsi="Arial" w:cs="Arial"/>
          <w:sz w:val="20"/>
          <w:szCs w:val="20"/>
          <w:lang w:val="fr-FR"/>
        </w:rPr>
        <w:instrText>‎</w:instrText>
      </w:r>
      <w:r w:rsidRPr="00157B9E">
        <w:rPr>
          <w:rFonts w:ascii="Arial Narrow" w:hAnsi="Arial Narrow"/>
          <w:sz w:val="20"/>
          <w:szCs w:val="20"/>
          <w:lang w:val="fr-FR"/>
        </w:rPr>
        <w:instrText>36.77%]</w:instrText>
      </w:r>
      <w:r w:rsidRPr="00157B9E">
        <w:rPr>
          <w:rFonts w:ascii="Arial" w:hAnsi="Arial" w:cs="Arial"/>
          <w:sz w:val="20"/>
          <w:szCs w:val="20"/>
          <w:lang w:val="fr-FR"/>
        </w:rPr>
        <w:instrText>‎</w:instrText>
      </w:r>
      <w:r w:rsidRPr="00157B9E">
        <w:rPr>
          <w:rFonts w:ascii="Arial Narrow" w:hAnsi="Arial Narrow"/>
          <w:sz w:val="20"/>
          <w:szCs w:val="20"/>
          <w:lang w:val="fr-FR"/>
        </w:rPr>
        <w:instrText xml:space="preserve"> and 57 support staff [</w:instrText>
      </w:r>
      <w:r w:rsidRPr="00157B9E">
        <w:rPr>
          <w:rFonts w:ascii="Arial" w:hAnsi="Arial" w:cs="Arial"/>
          <w:sz w:val="20"/>
          <w:szCs w:val="20"/>
          <w:lang w:val="fr-FR"/>
        </w:rPr>
        <w:instrText>‎</w:instrText>
      </w:r>
      <w:r w:rsidRPr="00157B9E">
        <w:rPr>
          <w:rFonts w:ascii="Arial Narrow" w:hAnsi="Arial Narrow"/>
          <w:sz w:val="20"/>
          <w:szCs w:val="20"/>
          <w:lang w:val="fr-FR"/>
        </w:rPr>
        <w:instrText>9.45%]</w:instrText>
      </w:r>
      <w:r w:rsidRPr="00157B9E">
        <w:rPr>
          <w:rFonts w:ascii="Arial" w:hAnsi="Arial" w:cs="Arial"/>
          <w:sz w:val="20"/>
          <w:szCs w:val="20"/>
          <w:lang w:val="fr-FR"/>
        </w:rPr>
        <w:instrText>‎</w:instrText>
      </w:r>
      <w:r w:rsidRPr="00157B9E">
        <w:rPr>
          <w:rFonts w:ascii="Arial Narrow" w:hAnsi="Arial Narrow"/>
          <w:sz w:val="20"/>
          <w:szCs w:val="20"/>
          <w:lang w:val="fr-FR"/>
        </w:rPr>
        <w:instrText>, belonging to other various categories working in different departments. This is a young population since 79.7% are under 30 years old. The results have shown that only 28.72% of health care professionals had received training in SP. Moreover, 87.7% claimed to practice hands' hygiene while moving from one patient to another. In contrast, 75.7% emphasized the need to change gloves each time they work on a new patient. However, individual protection measures were rarely mentioned in several risky situations","container-title":"EMHJ-Eastern Mediterranean Health Journal","ISSN":"1020-3397","issue":"01","journalAbbreviation":"Connaissances, attitudes et pratiques vis-à-vis des précautions standard chez les soignants du Centre hospitalier universitaire Hassan II de Fès (</w:instrText>
      </w:r>
      <w:r w:rsidRPr="00157B9E">
        <w:rPr>
          <w:rFonts w:ascii="Arial" w:hAnsi="Arial" w:cs="Arial"/>
          <w:sz w:val="20"/>
          <w:szCs w:val="20"/>
          <w:lang w:val="fr-FR"/>
        </w:rPr>
        <w:instrText>‎</w:instrText>
      </w:r>
      <w:r w:rsidRPr="00157B9E">
        <w:rPr>
          <w:rFonts w:ascii="Arial Narrow" w:hAnsi="Arial Narrow"/>
          <w:sz w:val="20"/>
          <w:szCs w:val="20"/>
          <w:lang w:val="fr-FR"/>
        </w:rPr>
        <w:instrText>Maroc)</w:instrText>
      </w:r>
      <w:r w:rsidRPr="00157B9E">
        <w:rPr>
          <w:rFonts w:ascii="Arial" w:hAnsi="Arial" w:cs="Arial"/>
          <w:sz w:val="20"/>
          <w:szCs w:val="20"/>
          <w:lang w:val="fr-FR"/>
        </w:rPr>
        <w:instrText>‎</w:instrText>
      </w:r>
      <w:r w:rsidRPr="00157B9E">
        <w:rPr>
          <w:rFonts w:ascii="Arial Narrow" w:hAnsi="Arial Narrow"/>
          <w:sz w:val="20"/>
          <w:szCs w:val="20"/>
          <w:lang w:val="fr-FR"/>
        </w:rPr>
        <w:instrText xml:space="preserve">","language":"fr","note":"Accepted: 2018-05-16T22:18:46Z\npublisher: World Health Organization, Regional Office for the Eastern Mediterranean","page":"5-12","source":"iris.who.int","title":"Knowledge, attitudes and practices towards standard precautions [SP] among caregivers at Hassan II University Teaching Hospital in Fes, Morocco","volume":"23","author":[{"family":"Benboubker","given":"Moussa"},{"family":"El Marnissi","given":"Boujemaa"},{"family":"Nhili","given":"Aziz"},{"family":"El Rhazi","given":"Karima"}],"issued":{"date-parts":[["2017",1]]}}}],"schema":"https://github.com/citation-style-language/schema/raw/master/csl-citation.json"}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[21]</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et </w:t>
      </w:r>
      <w:proofErr w:type="spellStart"/>
      <w:r w:rsidRPr="00157B9E">
        <w:rPr>
          <w:rFonts w:ascii="Arial Narrow" w:hAnsi="Arial Narrow"/>
          <w:sz w:val="20"/>
          <w:szCs w:val="20"/>
          <w:lang w:val="fr-FR"/>
        </w:rPr>
        <w:t>Abuduxike</w:t>
      </w:r>
      <w:proofErr w:type="spellEnd"/>
      <w:r w:rsidRPr="00157B9E">
        <w:rPr>
          <w:rFonts w:ascii="Arial Narrow" w:hAnsi="Arial Narrow"/>
          <w:sz w:val="20"/>
          <w:szCs w:val="20"/>
          <w:lang w:val="fr-FR"/>
        </w:rPr>
        <w:t xml:space="preserve"> et al en Chypre du Nord [26]. Par contre elle est inférieure au 65% rapporté par Girgis </w:t>
      </w:r>
      <w:proofErr w:type="spellStart"/>
      <w:r w:rsidRPr="00157B9E">
        <w:rPr>
          <w:rFonts w:ascii="Arial Narrow" w:hAnsi="Arial Narrow"/>
          <w:sz w:val="20"/>
          <w:szCs w:val="20"/>
          <w:lang w:val="fr-FR"/>
        </w:rPr>
        <w:t>Awadalla</w:t>
      </w:r>
      <w:proofErr w:type="spellEnd"/>
      <w:r w:rsidRPr="00157B9E">
        <w:rPr>
          <w:rFonts w:ascii="Arial Narrow" w:hAnsi="Arial Narrow"/>
          <w:sz w:val="20"/>
          <w:szCs w:val="20"/>
          <w:lang w:val="fr-FR"/>
        </w:rPr>
        <w:t xml:space="preserve"> en Egypte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{"citationID":"Zn0dgBmk","properties":{"formattedCitation":"[22]","plainCitation":"[22]","noteIndex":0},"citationItems":[{"id":"dRkYMcI2/pcaq0AbG","uris":["http://zotero.org/users/10711475/items/SJB9DGV4"],"itemData":{"id":75,"type":"article-journal","container-title":"American Journal of Biomedical Science &amp; Research","DOI":"10.34297/AJBSR.2019.03.000676","ISSN":"26421747","issue":"3","journalAbbreviation":"AJBSR","page":"272-276","source":"DOI.org (Crossref)","title":"Compliance with Standard Precautions Among Operating Room Nurses at a University Hospital, Egypt","volume":"3","author":[{"family":"Girgis Awadalla","given":"Bishoy Magdy"}],"issued":{"date-parts":[["2019",6,13]]}}}],"schema":"https://github.com/citation-style-language/schema/raw/master/csl-citation.json"}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[22]</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et au 73% rapporté par </w:t>
      </w:r>
      <w:proofErr w:type="spellStart"/>
      <w:r w:rsidRPr="00157B9E">
        <w:rPr>
          <w:rFonts w:ascii="Arial Narrow" w:hAnsi="Arial Narrow"/>
          <w:sz w:val="20"/>
          <w:szCs w:val="20"/>
          <w:lang w:val="fr-FR"/>
        </w:rPr>
        <w:t>Abalkhaïl</w:t>
      </w:r>
      <w:proofErr w:type="spellEnd"/>
      <w:r w:rsidRPr="00157B9E">
        <w:rPr>
          <w:rFonts w:ascii="Arial Narrow" w:hAnsi="Arial Narrow"/>
          <w:sz w:val="20"/>
          <w:szCs w:val="20"/>
          <w:lang w:val="fr-FR"/>
        </w:rPr>
        <w:t xml:space="preserve"> et al, en Arabie Saoudite [27]. Les modules spécifiques sur la prévention des IAS dans les curricula de formation n’ont été renforcés que très récemment avec la pandémie à COVID-19. La pratique sur le terrain et les conseils auprès de leurs aînés conditionnent bien souvent le savoir des PS en matière de prévention des infections en milieu de soins. Au regard du faible niveau d’ancienneté de notre population d’étude, il est probable que la plupart de ces jeunes PS n’aient pas reçu de formation post-académique sur le sujet. Toutefois on pourrait aussi penser que les réponses données à cette question liée à la formation ont pu être motivées par un besoin de formation en dépit du fait d’avoir été réellement formés antérieurement. La mise en place de formations régulières à l’endroit des PS est indispensable pour améliorer leurs connaissances sur les précautions standards de prévention des infections.</w:t>
      </w:r>
    </w:p>
    <w:p w14:paraId="433E33B2" w14:textId="77777777" w:rsidR="00157B9E" w:rsidRPr="00157B9E" w:rsidRDefault="00157B9E" w:rsidP="00157B9E">
      <w:pPr>
        <w:spacing w:after="0" w:line="240" w:lineRule="auto"/>
        <w:jc w:val="both"/>
        <w:rPr>
          <w:rFonts w:ascii="Arial Narrow" w:hAnsi="Arial Narrow"/>
          <w:sz w:val="20"/>
          <w:szCs w:val="20"/>
          <w:lang w:val="fr-FR"/>
        </w:rPr>
      </w:pPr>
      <w:r w:rsidRPr="00157B9E">
        <w:rPr>
          <w:rFonts w:ascii="Arial Narrow" w:hAnsi="Arial Narrow"/>
          <w:sz w:val="20"/>
          <w:szCs w:val="20"/>
          <w:lang w:val="fr-FR"/>
        </w:rPr>
        <w:t xml:space="preserve">Moins d’un PS sur cinq avaient une bonne connaissance en prévention des infections associées aux soins. Nos résultats sont inférieurs aux proportions rapportées dans la littérature, variant entre 45% en Ethiopie, 58% à Chypre et 78% au Nigéria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GoifhmU0","properties":{"formattedCitation":"[23\\uc0\\u8211{}27]","plainCitation":"[23–27]","noteIndex":0},"citationItems":[{"id":"dRkYMcI2/6OxhsKTQ","uris":["http://zotero.org/users/10711475/items/MDVV889G"],"itemData":{"id":56,"type":"article-journal","abstract":"Background\nNon-compliance with infection control guidelines of healthcare workers may increase their risk of exposure to infectious diseases but can be prevented through adherence to standard precautionary practices in healthcare settings.\n\nObjective\nThis study aimed to assess the magnitude of standard precautions practice and its associated factors among healthcare workers in government hospitals of South Wollo Zone, northeastern Ethiopia\n\nMethods\nAn institutional-based cross-sectional study was conducted among 1,100 healthcare workers. Proportional sample size allocation for each selected government hospital was conducted followed by simple random sampling to select study participants using human resource records from each hospital. Data were collected using structured and self-administered pretested questionnaires. The data were analyzed using descriptive statistics, bivariable binary, and multivariable logistic regression models. Variables with a p-value &lt;0.05 with a 95% CI were considered as having statistical significance\n\nResults\nThe overall magnitude of compliance with standard precautions among healthcare workers was 19.2%. The result indicated that work experience of &lt;5 years (AOR</w:instrText>
      </w:r>
      <w:r w:rsidRPr="00157B9E">
        <w:rPr>
          <w:rFonts w:ascii="Arial" w:hAnsi="Arial" w:cs="Arial"/>
          <w:sz w:val="20"/>
          <w:szCs w:val="20"/>
          <w:lang w:val="fr-FR"/>
        </w:rPr>
        <w:instrText> </w:instrText>
      </w:r>
      <w:r w:rsidRPr="00157B9E">
        <w:rPr>
          <w:rFonts w:ascii="Arial Narrow" w:hAnsi="Arial Narrow"/>
          <w:sz w:val="20"/>
          <w:szCs w:val="20"/>
          <w:lang w:val="fr-FR"/>
        </w:rPr>
        <w:instrText>=</w:instrText>
      </w:r>
      <w:r w:rsidRPr="00157B9E">
        <w:rPr>
          <w:rFonts w:ascii="Arial" w:hAnsi="Arial" w:cs="Arial"/>
          <w:sz w:val="20"/>
          <w:szCs w:val="20"/>
          <w:lang w:val="fr-FR"/>
        </w:rPr>
        <w:instrText> </w:instrText>
      </w:r>
      <w:r w:rsidRPr="00157B9E">
        <w:rPr>
          <w:rFonts w:ascii="Arial Narrow" w:hAnsi="Arial Narrow"/>
          <w:sz w:val="20"/>
          <w:szCs w:val="20"/>
          <w:lang w:val="fr-FR"/>
        </w:rPr>
        <w:instrText>2.51; 95% CI: 1.07–5.89), absence of continuous water supply (AOR</w:instrText>
      </w:r>
      <w:r w:rsidRPr="00157B9E">
        <w:rPr>
          <w:rFonts w:ascii="Arial" w:hAnsi="Arial" w:cs="Arial"/>
          <w:sz w:val="20"/>
          <w:szCs w:val="20"/>
          <w:lang w:val="fr-FR"/>
        </w:rPr>
        <w:instrText> </w:instrText>
      </w:r>
      <w:r w:rsidRPr="00157B9E">
        <w:rPr>
          <w:rFonts w:ascii="Arial Narrow" w:hAnsi="Arial Narrow"/>
          <w:sz w:val="20"/>
          <w:szCs w:val="20"/>
          <w:lang w:val="fr-FR"/>
        </w:rPr>
        <w:instrText>=</w:instrText>
      </w:r>
      <w:r w:rsidRPr="00157B9E">
        <w:rPr>
          <w:rFonts w:ascii="Arial" w:hAnsi="Arial" w:cs="Arial"/>
          <w:sz w:val="20"/>
          <w:szCs w:val="20"/>
          <w:lang w:val="fr-FR"/>
        </w:rPr>
        <w:instrText> </w:instrText>
      </w:r>
      <w:r w:rsidRPr="00157B9E">
        <w:rPr>
          <w:rFonts w:ascii="Arial Narrow" w:hAnsi="Arial Narrow"/>
          <w:sz w:val="20"/>
          <w:szCs w:val="20"/>
          <w:lang w:val="fr-FR"/>
        </w:rPr>
        <w:instrText>2.24; 95% CI: 1.95</w:instrText>
      </w:r>
      <w:r w:rsidRPr="00157B9E">
        <w:rPr>
          <w:rFonts w:ascii="Arial Narrow" w:hAnsi="Arial Narrow" w:cs="Arial Narrow"/>
          <w:sz w:val="20"/>
          <w:szCs w:val="20"/>
          <w:lang w:val="fr-FR"/>
        </w:rPr>
        <w:instrText>–</w:instrText>
      </w:r>
      <w:r w:rsidRPr="00157B9E">
        <w:rPr>
          <w:rFonts w:ascii="Arial Narrow" w:hAnsi="Arial Narrow"/>
          <w:sz w:val="20"/>
          <w:szCs w:val="20"/>
          <w:lang w:val="fr-FR"/>
        </w:rPr>
        <w:instrText>5.29), and negative attitude (AOR</w:instrText>
      </w:r>
      <w:r w:rsidRPr="00157B9E">
        <w:rPr>
          <w:rFonts w:ascii="Arial" w:hAnsi="Arial" w:cs="Arial"/>
          <w:sz w:val="20"/>
          <w:szCs w:val="20"/>
          <w:lang w:val="fr-FR"/>
        </w:rPr>
        <w:instrText> </w:instrText>
      </w:r>
      <w:r w:rsidRPr="00157B9E">
        <w:rPr>
          <w:rFonts w:ascii="Arial Narrow" w:hAnsi="Arial Narrow"/>
          <w:sz w:val="20"/>
          <w:szCs w:val="20"/>
          <w:lang w:val="fr-FR"/>
        </w:rPr>
        <w:instrText>=</w:instrText>
      </w:r>
      <w:r w:rsidRPr="00157B9E">
        <w:rPr>
          <w:rFonts w:ascii="Arial" w:hAnsi="Arial" w:cs="Arial"/>
          <w:sz w:val="20"/>
          <w:szCs w:val="20"/>
          <w:lang w:val="fr-FR"/>
        </w:rPr>
        <w:instrText> </w:instrText>
      </w:r>
      <w:r w:rsidRPr="00157B9E">
        <w:rPr>
          <w:rFonts w:ascii="Arial Narrow" w:hAnsi="Arial Narrow"/>
          <w:sz w:val="20"/>
          <w:szCs w:val="20"/>
          <w:lang w:val="fr-FR"/>
        </w:rPr>
        <w:instrText>2.37; 95% CI: 1.17</w:instrText>
      </w:r>
      <w:r w:rsidRPr="00157B9E">
        <w:rPr>
          <w:rFonts w:ascii="Arial Narrow" w:hAnsi="Arial Narrow" w:cs="Arial Narrow"/>
          <w:sz w:val="20"/>
          <w:szCs w:val="20"/>
          <w:lang w:val="fr-FR"/>
        </w:rPr>
        <w:instrText>–</w:instrText>
      </w:r>
      <w:r w:rsidRPr="00157B9E">
        <w:rPr>
          <w:rFonts w:ascii="Arial Narrow" w:hAnsi="Arial Narrow"/>
          <w:sz w:val="20"/>
          <w:szCs w:val="20"/>
          <w:lang w:val="fr-FR"/>
        </w:rPr>
        <w:instrText xml:space="preserve">4.79) were significantly associated with poor compliance of standard precautions practice.\n\nConclusion\nThe overall magnitude of compliance with standard precautions among healthcare workers was low compared to the national magnitude of infection prevention practice. Interventions including consistent and effective training on infection prevention healthcare workers should be given regularly. Providing continuous water supply and building a positive attitude toward infection prevention practices among healthcare workers are also required.","container-title":"Frontiers in Health Services","DOI":"10.3389/frhs.2023.1071517","ISSN":"2813-0146","journalAbbreviation":"Front Health Serv","note":"PMID: 37033899\nPMCID: PMC10073742","page":"1071517","source":"PubMed Central","title":"The magnitude of standard precautions practice and its associated factors among healthcare workers in governmental hospitals of northeastern Ethiopia","volume":"3","author":[{"family":"Keleb","given":"Awoke"},{"family":"Lingerew","given":"Mistir"},{"family":"Ademas","given":"Ayechew"},{"family":"Berihun","given":"Gete"},{"family":"Sisay","given":"Tadesse"},{"family":"Adane","given":"Metadel"}],"issued":{"date-parts":[["2023",3,22]]}}},{"id":"dRkYMcI2/TV3GsN0F","uris":["http://zotero.org/users/10711475/items/JGSZ6XIU"],"itemData":{"id":57,"type":"article-journal","abstract":"Background:\nHealthcare-associated infections (HAIs) have been reported to be a serious problem in the healthcare services as they are common causes of illness and mortality among hospitalized patients including healthcare workers (HCWs). Compliance with these standard precautions has been shown to reduce the risk of exposure to blood and body fluids.\n\nAims:\nThis study therefore assesses the level of knowledge and compliance with standard precautions by the various cadre of HCWs and the factors influencing compliance in hospital environment in Nasarawa State, Northern Nigeria.\n\nSettings and Design:\nNasarawa State has a current human immunodeficiency virus/acquired immunodeficiency syndrome (HIV/AIDS) prevalence rate of 10.0%, which was higher than most states in Nigeria with a high level of illiteracy and ignorance. Majority of the people reside in the rural areas while a few are found in the towns, informal settlements with no direct access to healthcare facilities are common.\n\nMaterials and Methods:\nThis study is an analytical, cross-sectional study. Proportional sampling technique was used to obtain a representative sample and a structured self-administered questionnaire was used to collect relevant information from the healthcare providers working in Nasarawa State from January to February 2009.\n\nStatistical analysis used:\nTo describe patient characteristics, we calculated proportions and medians. For categorical variables, we compared proportions using chi-square tests. A logistic regression model was produced with infection control as outcome variable to identify associated factors.\n\nResults:\nA total of 421 HCWs were interviewed, Majority (77.9%) correctly describe universal precaution and infection control with 19.2, 19.2, and 28.0%, respectively unable to recognize vaccination, postexposure prophylaxis, and surveillance for emerging diseases as standard precaution for infection control. About 70.1% usually wear gloves before handling patients or patients’ care products, 12.6% reported wash their hand before wearing the gloves, 10.7% washed hands after removal of gloves, and 72.4% changed gloves after each patient. Only 3.3% had a sharp disposal system in their various workplaces. Majority (98.6%) of the respondents reported that the major reason for noncompliance to universal precautions is the nonavailability of the equipments. There was a statistically significant difference in the practice of standard precaution among those that were exposed to blood products and body fluid compared to those that had not been exposed in the last 6 months (χ2 = 3.96, P = 0.03), public healthcare providers when compared to private health workers (χ2 = 22.32, P = 0.001), among those working in secondary and tertiary facilities compared to primary healthcare centers (χ2 = 14.64, P = 0.001) and urban areas when compared to rural areas (χ2 = 4.06, P = 0.02). The only predictor of practice of standard precaution was exposure to blood and body fluid in the last 6 months odds ratio (OR) = 4.56 (confidence interval (CI) = 1.00-21.28).\n\nConclusions:\nThis study implies that inadequate workers’ knowledge and environment related problems, including the lack of protective materials and other equipments and utilities required to ensure safety of HCWs is a crucial issue that need urgent attention. Institution of a surveillance system for hospital acquired infection to improve consistent use of standard precautions among health workers is recommended in Nigeria and other low income countries in Africa.","container-title":"Journal of Global Infectious Diseases","DOI":"10.4103/0974-777X.122010","ISSN":"0974-777X","issue":"4","journalAbbreviation":"J Glob Infect Dis","note":"PMID: 24672178\nPMCID: PMC3958986","page":"156-163","source":"PubMed Central","title":"Infection Control and Practice of Standard Precautions Among Healthcare Workers in Northern Nigeria","volume":"5","author":[{"family":"Amoran","given":"OE"},{"family":"Onwube","given":"OO"}],"issued":{"date-parts":[["2013"]]}}},{"id":"dRkYMcI2/QUo0wsIt","uris":["http://zotero.org/users/10711475/items/UTPNY8QI"],"itemData":{"id":53,"type":"article-journal","abstract":"Background\nThe objective was to assess the knowledge level, attitude, and practice of health care workers towards standard precautions, and to identify the related factors. Furthermore, it was attempted to identify the proportion of having the experience of needle stick injuries (NSIs) and associated factors among participants.\n\nMethods\nA cross-sectional study was conducted in a teaching hospital among 233 health workers using a self-administrated questionnaire. The questionnaire included eight knowledge items, seven practice items, and five attitude items. Based on the mean score of each category, responses were grouped into “satisfactory” and “unsatisfactory”. Univariate, bivariate, and multivariable logistic regression analyses were done.\n\nResults\nThe mean age of the participants 32.95 (SD ± 9.70) and 62.2% of them were women. 57.5% of the staff had a satisfactory level of correct knowledge (&gt;5 correct answers), 37.3% had a satisfactory positive attitude (&gt;3 correct answers), and 30.9% had a satisfactory practice (&gt;3 correct answers) towards standard precautions. The occupation was one of the predictors as doctors were less likely to have satisfactory knowledge and practice compared to nurses (OR = 0.269, 95% CI: 0.10–0.70 and OR = 0.248, 95% CI: 0.08–0.77, respectively). Out of 174 participants, 31.6% of them reported experiencing NSIs and support staff were 71% less likely to experience NSIs compared to nurses &amp; paramedics.\n\nConclusion\nThe findings revealed a substandard adherence of standard precautions among participants, which highlighted the necessity of the provision of a periodic, tailored training program based on the occupation and risk exposure.","container-title":"Safety and Health at Work","DOI":"10.1016/j.shaw.2020.09.003","ISSN":"2093-7911","issue":"1","journalAbbreviation":"Saf Health Work","note":"PMID: 33732531\nPMCID: PMC7940130","page":"66-73","source":"PubMed Central","title":"An Assessment of the Knowledge, Attitude, and Practice Toward Standard Precautions Among Health Workers From a Hospital in Northern Cyprus","volume":"12","author":[{"family":"Abuduxike","given":"Gulifeiya"},{"family":"Acar Vaizoglu","given":"Songul"},{"family":"Asut","given":"Ozen"},{"family":"Cali","given":"Sanda"}],"issued":{"date-parts":[["2021",3]]}}},{"id":"dRkYMcI2/75xgk6ds","uris":["http://zotero.org/users/10711475/items/MVU5G3YE"],"itemData":{"id":59,"type":"article-journal","abstract":"Hospital-acquired infections (HAIs) contribute to increased length of hospital stay, higher mortality and higher health-care costs. Prevention and control of HAIs is a critical public health concern. This study assessed the knowledge, attitude, and practice (KAP) of standard infection control precautions among health-care workers (HCWs) in Qassim, Saudi Arabia. A cross-sectional online survey among HCWs was conducted using a structured questionnaire. Predictors of KAP were investigated using multivariate logistic regression analyses and independent sample t-tests. A total of 213 HCWs participated in the survey. The prevalence of good (≥80% correct response) knowledge, attitude, and practice were 67.6%, 61.5%, and 73.2%, respectively. The predictors of good knowledge included the age of the HCWs (&gt;34 years) (adjusted odds ratio: 30.5, p &lt; 0.001), and training (13.3, p &lt; 0.001). More than 6 years of work experience was a significant predictor of having a positive attitude (5.5, p &lt; 0.001). While the predictors of good practice were having &gt;6 years of experience (2.9, p &lt; 0.01), previous exposure to HAIs (2.5, p &lt; 0.05), and training (3.5, p &lt; 0.01). However, being female (0.22, p &lt; 0.001) and older (&gt;34 years) (0.34, p &lt; 0.01) were negatively associated with knowledge. Results indicate that arranging training for HCWs might be useful in improving their knowledge of standard infection control precautions and is also expected to facilitate positive attitude and practice.","container-title":"International Journal of Environmental Research and Public Health","DOI":"10.3390/ijerph182211831","ISSN":"1661-7827","issue":"22","journalAbbreviation":"Int J Environ Res Public Health","note":"PMID: 34831585\nPMCID: PMC8624606","page":"11831","source":"PubMed Central","title":"Knowledge, Attitude and Practice of Standard Infection Control Precautions among Health-Care Workers in a University Hospital in Qassim, Saudi Arabia: A Cross-Sectional Survey","title-short":"Knowledge, Attitude and Practice of Standard Infection Control Precautions among Health-Care Workers in a University Hospital in Qassim, Saudi Arabia","volume":"18","author":[{"family":"Abalkhail","given":"Adil"},{"family":"Al Imam","given":"Mahmudul Hassan"},{"family":"Elmosaad","given":"Yousif Mohammed"},{"family":"Jaber","given":"Mahmoud F."},{"family":"Hosis","given":"Khaled Al"},{"family":"Alhumaydhi","given":"Fahad A."},{"family":"Alslamah","given":"Thamer"},{"family":"Alamer","given":"Ali"},{"family":"Mahmud","given":"Ilias"}],"issued":{"date-parts":[["2021",11,11]]}}},{"id":"dRkYMcI2/LnElhcMs","uris":["http://zotero.org/users/10711475/items/Y5ELT2U2"],"itemData":{"id":58,"type":"article-journal","abstract":"Background:\nStandard precautions are recommended to prevent transmission of infection in hospitals. However, their implementation is dependent on the knowledge and attitudes of healthcare workers (HCW). This study describes the knowledge, attitude and practice (KAP) of standard precautions of infection control among HCW of two tertiary hospitals in Nigeria is described.\n\nMethods:\nA cross-sectional study was undertaken in 2011/2012 among HCW in two tertiary hospitals in Nigeria. Data was collected via a structured self-administered questionnaire assessing core elements of KAP of standard precautions. Percentage KAP scores were calculated and professional differences in median percentage KAP scores were ascertained.\n\nResults:\nA total of 290 HCW participated in the study (76% response rate), including 111 (38.3%) doctors, 147 (50.7%) nurses and 32 (11%) laboratory scientists. Overall median knowledge and attitude scores toward standard precautions were above 90%, but median practice score was 50.8%. The majority of the HCW had poor knowledge of injection safety and complained of inadequate resources to practise standard precautions. House officers, laboratory scientists and junior cadres of nurses had lower knowledge and compliance with standard precautions than more experienced doctors and nurses.\n\nConclusion:\nOur results suggest generally poor compliance with standard precautions of infection control among HCW in Nigeria. Policies that foster training of HCW in standard precautions and guarantee regular provision of infection control and prevention resources in health facilities are required in Nigeria.","container-title":"Journal of Infection Prevention","DOI":"10.1177/1757177414558957","ISSN":"1757-1774","issue":"1","journalAbbreviation":"J Infect Prev","note":"PMID: 28989394\nPMCID: PMC5074133","page":"16-22","source":"PubMed Central","title":"Knowledge, attitude and practice of standard precautions of infection control by hospital workers in two tertiary hospitals in Nigeria","volume":"16","author":[{"family":"Ogoina","given":"Dimie"},{"family":"Pondei","given":"Kemebradikumo"},{"family":"Adetunji","given":"Babatunde"},{"family":"Chima","given":"George"},{"family":"Isichei","given":"Christian"},{"family":"Gidado","given":"Sanusi"}],"issued":{"date-parts":[["2015",1]]}}}],"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[23–27]</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Cette faible connaissance pourrait s’expliquer par l’absence de formation initiale et continue rapportée par les PS. La bonne connaissance des PS était associée à la qualification du PS, le type de structure dans laquelle travaille le PS, la région sanitaire, l’ancienneté du PS, et le fait d’avoir bénéficié d’une formation. Kim et al, ont rapporté également en 2023 que les médecins avaient des scores de connaissances et des attitudes inférieurs aux infirmiers en République de Corée en matière d’hygiène des mains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{"citationID":"HPkjC50y","properties":{"formattedCitation":"[28]","plainCitation":"[28]","noteIndex":0},"citationItems":[{"id":5333,"uris":["http://zotero.org/groups/5671772/items/GGJTATMM"],"itemData":{"id":5333,"type":"article-journal","abstract":"Hand hygiene (HH) is a fundamental component of infection prevention and control in healthcare settings. This study aimed to identify knowledge, attitude, and barriers to HH according to occupational groups and strategies to increase the rate of HH compliance among healthcare workers (HCWs). This cross-sectional survey was conducted in July 2018 at four university-affiliated hospitals. The survey comprised seven parts with 49 items, including self-reported HH compliance, knowledge, attitudes, behaviours, barriers to HH, and improvement strategies. A total of 1046 HCWs participated in the survey. The nursing group’s self-reported HH compliance rate was the highest, followed by other HCWs and physicians. The scores regarding knowledge, attitudes, and behaviours regarding HH were the highest in the nursing group. The nursing group also had higher internal and emotional motivation scores. Physicians and nurses found HH the most challenging in emergencies, while other HCWs considered skin problems caused by HH products the most significant barrier. Among 12 improvement measures, approximately 20% of the respondents ranked “diversify types of hand sanitisers,“ “install soap and paper towels in each hospital room,“ and “change perception through various HH campaigns” as the top three priorities. The physician group deemed the timely reminder of HH compliance as the second most critical improvement measure. Differences in knowledge, attitude and barriers hindering HH compliance and improvement plans were identified for each group. The findings suggest that targeted interventions tailored to the specific needs of different occupational groups may effectively improve HH compliance in healthcare settings.","container-title":"Antimicrobial Resistance &amp; Infection Control","DOI":"10.1186/s13756-023-01296-y","ISSN":"2047-2994","issue":"1","journalAbbreviation":"Antimicrob Resist Infect Control","language":"en","license":"2023 The Author(s)","note":"number: 1\npublisher: BioMed Central","page":"1-9","source":"login.research4life.org","title":"Hand hygiene knowledge, attitude, barriers and improvement measures among healthcare workers in the Republic of Korea: a cross-sectional survey exploring interprofessional differences","title-short":"Hand hygiene knowledge, attitude, barriers and improvement measures among healthcare workers in the Republic of Korea","volume":"12","author":[{"family":"Kim","given":"Jaewoong"},{"family":"Yu","given":"Shi Nae"},{"family":"Jeong","given":"Yeon Su"},{"family":"Kim","given":"Jin Hwa"},{"family":"Jeon","given":"Min Hyok"},{"family":"Kim","given":"Tark"},{"family":"Choo","given":"Eun Ju"},{"family":"Lee","given":"Eunjung"},{"family":"Kim","given":"Tae Hyong"},{"family":"Park","given":"Se Yoon"}],"issued":{"date-parts":[["2023",12]]}}}],"schema":"https://github.com/citation-style-language/schema/raw/master/csl-citation.json"}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[28]</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Les maternités présentent des défis uniques en matière de prévention et de contrôle des infections en raison de la présence d'un volume élevé de fluides corporels, de procédures aseptiques fréquentes, d'un renouvellement rapide des patients et de la sensibilité des femmes enceintes et des nouveau-nés aux infections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{"citationID":"oEdc6zaO","properties":{"formattedCitation":"[29\\uc0\\u8211{}31]","plainCitation":"[29–31]","noteIndex":0},"citationItems":[{"id":5335,"uris":["http://zotero.org/groups/5671772/items/BQB9YIMQ"],"itemData":{"id":5335,"type":"article-journal","abstract":"There is a need for a clear and actionable definition of maternal sepsis, in order to better assess the burden of this condition, trigger timely and effective treatment and allow comparisons across facilities and countries. The objective of this study was to review maternal sepsis definitions and identification criteria and to report on the results of an expert consultation to develop a new international definition of maternal sepsis. All original and review articles and WHO documents, as well as clinical guidelines providing definitions and/or identification criteria of maternal sepsis were included. A multidisciplinary international panel of experts was surveyed through an online consultation in March-April 2016 on their opinion on the existing sepsis definitions, including new definition of sepsis proposed for the adult population (2016 Third International Consensus Definitions for Sepsis and Septic Shock) and importance of different criteria for identification of maternal sepsis. The definition was agreed using an iterative process in an expert face-to-face consensus development meeting convened by WHO and Jhpiego. Standardizing the definition of maternal sepsis and aligning it with the current understanding of sepsis in the adult population was considered a mandatory step to improve the assessment of the burden of maternal sepsis by the expert panel. The literature review and expert consultation resulted in a new WHO consensus definition “Maternal sepsis is a life-threatening condition defined as organ dysfunction resulting from infection during pregnancy, child-birth, post-abortion, or post-partum period”. Plans are in progress to validate the new WHO definition of maternal sepsis in a large international population. The operationalization of the new maternal sepsis definition requires generation of a set of practical criteria to identify women with sepsis. These criteria should enable clinicians to focus on the timely initiation of actionable elements of care (administration of antimicrobials and fluids, support of vital organ functions, and referral) and improve maternal outcomes.","container-title":"Reproductive Health","DOI":"10.1186/s12978-017-0321-6","ISSN":"1742-4755","issue":"1","journalAbbreviation":"Reprod Health","language":"en","license":"2017 The Author(s).","note":"number: 1\npublisher: BioMed Central","page":"1-13","source":"login.research4life.org","title":"Towards a consensus definition of maternal sepsis: results of a systematic review and expert consultation","title-short":"Towards a consensus definition of maternal sepsis","volume":"14","author":[{"family":"Bonet","given":"Mercedes"},{"family":"Nogueira Pileggi","given":"Vicky"},{"family":"Rijken","given":"Marcus J."},{"family":"Coomarasamy","given":"Arri"},{"family":"Lissauer","given":"David"},{"family":"Souza","given":"João Paulo"},{"family":"Gülmezoglu","given":"Ahmet Metin"}],"issued":{"date-parts":[["2017",12]]}},"label":"page"},{"id":5334,"uris":["http://zotero.org/groups/5671772/items/T6HLLNDZ"],"itemData":{"id":5334,"type":"article-journal","abstract":"With an increasing number of women delivering in healthcare facilities in Low and Middle Income Countries (LMICs), healthcare workers’ hand hygiene compliance on labour wards is pivotal to preventing infections. Currently there are no estimates of how often birth attendants comply with hand hygiene, or of the factors influencing compliance in healthcare facilities in LMICs. We conducted a systematic review to investigate the a) level of compliance, b) determinants of compliance and c) interventions to improve hand hygiene during labour and delivery among birth attendants in healthcare facilities of LMICs. We also aimed to assess the quality of the included studies and to report the intra-cluster correlation for studies conducted in multiple facilities. We obtained 797 results across four databases and reviewed 71 full texts. Of these, fifteen met our inclusion criteria. Overall, the quality of the included studies was particularly compromised by poorly described sampling methods and definitions. Hand hygiene compliance varied substantially across studies from 0 to 100%; however, the heterogeneity in definitions of hand hygiene did not allow us to combine or compare these meaningfully. The five studies with larger sample sizes and clearer definitions estimated compliance before aseptic procedures opportunities, to be low (range: 1–38%). Three studies described two multi-component interventions, both were shown to be feasible. Hand hygiene compliance was low for studies with larger sample sizes and clear definitions. This poses a substantial challenge to infection prevention during birth in LMICs facilities. We also found that the quality of many studies was suboptimal. Future studies of hand hygiene compliance on the labour ward should be designed with better sampling frames, assess inter-observer agreement, use measures to improve the quality of data collection, and report their hand hygiene definitions clearly.","container-title":"BMC Health Services Research","DOI":"10.1186/s12913-020-05925-9","ISSN":"1472-6963","issue":"1","journalAbbreviation":"BMC Health Serv Res","language":"en","license":"2020 The Author(s)","note":"number: 1\npublisher: BioMed Central","page":"1-16","source":"login.research4life.org","title":"Birth attendants’ hand hygiene compliance in healthcare facilities in low and middle-income countries: a systematic review","title-short":"Birth attendants’ hand hygiene compliance in healthcare facilities in low and middle-income countries","volume":"20","author":[{"family":"Gon","given":"Giorgia"},{"family":"Barra","given":"Mícheál","non-dropping-particle":"de"},{"family":"Dansero","given":"Lucia"},{"family":"Nash","given":"Stephen"},{"family":"Campbell","given":"Oona M. R."}],"issued":{"date-parts":[["2020",12]]}},"label":"page"},{"id":5336,"uris":["http://zotero.org/groups/5671772/items/BIVBL7JE"],"itemData":{"id":5336,"type":"article-journal","abstract":"Introduction Hand hygiene is key in preventing healthcare-associated infections, but it is challenging in maternity settings due to high patient turnover, frequent emergencies and volume of aseptic procedures. We sought to investigate if adaptions to the WHO hand hygiene reminders could improve their acceptability in maternity settings globally, and use these findings to develop new reminders specific to maternity settings.\nMethods Informed by Sekhon et al’s acceptability framework, we conducted an online survey, semi-structured interviews and a focus group examining the three WHO central hand hygiene reminders (‘your five moments of hand hygiene’, ‘how to hand wash’ and ‘how to hand rub’) and their acceptability in maternity settings. A convergent mixed-methods study design was followed. Findings were examined overall and by country income status. A WHO expert working group tested the integrated findings, further refined results and developed recommendations to improve acceptability for use in the global maternity community. Findings were used to inform the development of two novel and acceptable hand hygiene reminders for use in high-income country (HIC) and low- and middle-income country (LMIC) maternity settings.\nResults Participation in the survey (n=342), semi-structured interviews (n=12) and focus group (n=7) spanned 51 countries (14 HICs and 37 LMICs). The highest scoring acceptability constructs were clarity of the intervention (intervention coherence), confidence in performance (self-efficacy), and alignment with personal values (ethicality). The lowest performing were perceived difficulty (burden) and how the intervention made the participant feel (affective attitude). Overfamiliarity reduced acceptability in HICs (perceived effectiveness). In LMICs, resource availability was a barrier to implementation (opportunity cost). Two new reminders were developed based on the findings, using inclusive female images, and clinical examples from maternity settings.\nConclusion Following methodologically robust adaptation, two novel and inclusive maternity-specific hand hygiene reminders have been developed for use in both HIC and LMICs.","container-title":"BMJ Open","DOI":"10.1136/bmjopen-2023-083132","ISSN":"2044-6055, 2044-6055","issue":"9","language":"en","license":"© World Health Organization 2024. Licensee BMJ.. https://creativecommons.org/licenses/by/3.0/igo/This is an open access article distributed under the terms of the Creative Commons Attribution IGO License (CC BY 3.0 IGO), which permits use, distribution,and reproduction in any medium, provided the original work is properly cited. In any reproduction of this article there should not be any suggestion that WHO or this article endorse any specific organization or products. The use of the WHO logo is not permitted. This notice should be preserved along with the article’s original URL.","note":"publisher: British Medical Journal Publishing Group\nsection: Obstetrics and gynaecology\nPMID: 39289025","page":"e083132","source":"login.research4life.org","title":"Adapting the WHO hand hygiene ‘reminders in the workplace’ to improve acceptability for healthcare workers in maternity settings worldwide: a mixed methods study","title-short":"Adapting the WHO hand hygiene ‘reminders in the workplace’ to improve acceptability for healthcare workers in maternity settings worldwide","volume":"14","author":[{"family":"Dunlop","given":"Catherine Louise"},{"family":"Kilpatrick","given":"Claire"},{"family":"Jones","given":"Laura"},{"family":"Bonet","given":"Mercedes"},{"family":"Allegranzi","given":"Benedetta"},{"family":"Brizuela","given":"Vanessa"},{"family":"Graham","given":"Wendy"},{"family":"Thompson","given":"Amy"},{"family":"Cheshire","given":"James"},{"family":"Lissauer","given":"David"}],"issued":{"date-parts":[["2024",9,1]]}},"label":"page"}],"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[29–31]</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Le caractère sensible de l’activité obstétricale pourrait ainsi expliquer le fait que les sage-femmes ou maïeuticiens avaient une probabilité 6 fois plus élevée d’avoir une bonne connaissance des précautions standards. Le niveau de développement de la région sanitaire du Centre, le plus élevé du pays du fait que cette région abrite la capitale du pays et y concentre une grande partie des ressources, pourrait expliquer que les PS de cette région sanitaire aient une probabilité 2 fois plus élevée d’avoir une bonne connaissance, comparés aux autres. Les PS travaillant dans les CSPS avaient une probabilité significativement plus faible d’avoir une bonne connaissance par rapport à ceux travaillant dans les CHR et CHU qui sont les plus hauts de la pyramide sanitaire du Burkina Faso. Les PS des CHU/CHR et ceux de la région du Centre reçoivent plus de formations continues que les PS des districts. Nos </w:t>
      </w:r>
      <w:r w:rsidRPr="00157B9E">
        <w:rPr>
          <w:rFonts w:ascii="Arial Narrow" w:hAnsi="Arial Narrow"/>
          <w:sz w:val="20"/>
          <w:szCs w:val="20"/>
          <w:lang w:val="fr-FR"/>
        </w:rPr>
        <w:lastRenderedPageBreak/>
        <w:t xml:space="preserve">résultats ont également montré que les PS avec plus de deux années d’ancienneté avaient une probabilité significativement plus faible d’avoir une bonne connaissance. Ces résultats pourraient s’expliquer par le temps écoulé depuis la fin de leur formation initiale et les mauvaises habitudes de travail qui peuvent s’installer avec la routine des soins. De plus, ces derniers étant plus expérimentés, ils pourraient se sentir plus en confiance dans la réalisation de certains actes. </w:t>
      </w:r>
    </w:p>
    <w:p w14:paraId="44520C3B" w14:textId="77777777" w:rsidR="00157B9E" w:rsidRPr="00157B9E" w:rsidRDefault="00157B9E" w:rsidP="00157B9E">
      <w:pPr>
        <w:spacing w:after="0" w:line="240" w:lineRule="auto"/>
        <w:jc w:val="both"/>
        <w:rPr>
          <w:rFonts w:ascii="Arial Narrow" w:hAnsi="Arial Narrow"/>
          <w:sz w:val="20"/>
          <w:szCs w:val="20"/>
          <w:lang w:val="fr-FR"/>
        </w:rPr>
      </w:pPr>
      <w:r w:rsidRPr="00157B9E">
        <w:rPr>
          <w:rFonts w:ascii="Arial Narrow" w:hAnsi="Arial Narrow"/>
          <w:sz w:val="20"/>
          <w:szCs w:val="20"/>
          <w:lang w:val="fr-FR"/>
        </w:rPr>
        <w:t xml:space="preserve">Les pratiques en matière de respect des précautions standards étaient globalement sous optimales dans notre étude. Les proportions de bonne pratique étaient inférieures à celles rapportées par </w:t>
      </w:r>
      <w:proofErr w:type="spellStart"/>
      <w:r w:rsidRPr="00157B9E">
        <w:rPr>
          <w:rFonts w:ascii="Arial Narrow" w:hAnsi="Arial Narrow"/>
          <w:sz w:val="20"/>
          <w:szCs w:val="20"/>
          <w:lang w:val="fr-FR"/>
        </w:rPr>
        <w:t>Benboubker</w:t>
      </w:r>
      <w:proofErr w:type="spellEnd"/>
      <w:r w:rsidRPr="00157B9E">
        <w:rPr>
          <w:rFonts w:ascii="Arial Narrow" w:hAnsi="Arial Narrow"/>
          <w:sz w:val="20"/>
          <w:szCs w:val="20"/>
          <w:lang w:val="fr-FR"/>
        </w:rPr>
        <w:t xml:space="preserve"> et al, au Maroc en 2017. Dans leur étude plus 70% des PS désinfectaient ou lavaient systématiquement les mains lors des soins ; entre 38% à 76% respectaient le port de gants ; 20% portaient une surblouse en cas de risque de projection ou d'aérosolisation de sang ou autres liquides biologiques ; et 27% portaient un  masque lors de soins avec risque de projection de sang ou autres liquides biologiques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{"citationID":"gliovOYq","properties":{"formattedCitation":"[21]","plainCitation":"[21]","noteIndex":0},"citationItems":[{"id":"dRkYMcI2/zr38FNDR","uris":["http://zotero.org/users/10711475/items/42JZIC22"],"itemData":{"id":86,"type":"article-journal","abstract":"This survey aims at assessing knowledge, attitudes and practices towards standard precautions [</w:instrText>
      </w:r>
      <w:r w:rsidRPr="00157B9E">
        <w:rPr>
          <w:rFonts w:ascii="Arial" w:hAnsi="Arial" w:cs="Arial"/>
          <w:sz w:val="20"/>
          <w:szCs w:val="20"/>
          <w:lang w:val="fr-FR"/>
        </w:rPr>
        <w:instrText>‎</w:instrText>
      </w:r>
      <w:r w:rsidRPr="00157B9E">
        <w:rPr>
          <w:rFonts w:ascii="Arial Narrow" w:hAnsi="Arial Narrow"/>
          <w:sz w:val="20"/>
          <w:szCs w:val="20"/>
          <w:lang w:val="fr-FR"/>
        </w:rPr>
        <w:instrText>SP]</w:instrText>
      </w:r>
      <w:r w:rsidRPr="00157B9E">
        <w:rPr>
          <w:rFonts w:ascii="Arial" w:hAnsi="Arial" w:cs="Arial"/>
          <w:sz w:val="20"/>
          <w:szCs w:val="20"/>
          <w:lang w:val="fr-FR"/>
        </w:rPr>
        <w:instrText>‎</w:instrText>
      </w:r>
      <w:r w:rsidRPr="00157B9E">
        <w:rPr>
          <w:rFonts w:ascii="Arial Narrow" w:hAnsi="Arial Narrow"/>
          <w:sz w:val="20"/>
          <w:szCs w:val="20"/>
          <w:lang w:val="fr-FR"/>
        </w:rPr>
        <w:instrText xml:space="preserve"> among caregivers at Hassan II University Teaching Hospital in Fes. This is a cross-sectional prospective and evaluative study that covers a two-month period. Data were collected using an anonymous and self-administered questionnaire. Sampling population was divided into 307 nurses [</w:instrText>
      </w:r>
      <w:r w:rsidRPr="00157B9E">
        <w:rPr>
          <w:rFonts w:ascii="Arial" w:hAnsi="Arial" w:cs="Arial"/>
          <w:sz w:val="20"/>
          <w:szCs w:val="20"/>
          <w:lang w:val="fr-FR"/>
        </w:rPr>
        <w:instrText>‎</w:instrText>
      </w:r>
      <w:r w:rsidRPr="00157B9E">
        <w:rPr>
          <w:rFonts w:ascii="Arial Narrow" w:hAnsi="Arial Narrow"/>
          <w:sz w:val="20"/>
          <w:szCs w:val="20"/>
          <w:lang w:val="fr-FR"/>
        </w:rPr>
        <w:instrText>53.8%]</w:instrText>
      </w:r>
      <w:r w:rsidRPr="00157B9E">
        <w:rPr>
          <w:rFonts w:ascii="Arial" w:hAnsi="Arial" w:cs="Arial"/>
          <w:sz w:val="20"/>
          <w:szCs w:val="20"/>
          <w:lang w:val="fr-FR"/>
        </w:rPr>
        <w:instrText>‎</w:instrText>
      </w:r>
      <w:r w:rsidRPr="00157B9E">
        <w:rPr>
          <w:rFonts w:ascii="Arial Narrow" w:hAnsi="Arial Narrow"/>
          <w:sz w:val="20"/>
          <w:szCs w:val="20"/>
          <w:lang w:val="fr-FR"/>
        </w:rPr>
        <w:instrText>, 210 hospital doctors [</w:instrText>
      </w:r>
      <w:r w:rsidRPr="00157B9E">
        <w:rPr>
          <w:rFonts w:ascii="Arial" w:hAnsi="Arial" w:cs="Arial"/>
          <w:sz w:val="20"/>
          <w:szCs w:val="20"/>
          <w:lang w:val="fr-FR"/>
        </w:rPr>
        <w:instrText>‎</w:instrText>
      </w:r>
      <w:r w:rsidRPr="00157B9E">
        <w:rPr>
          <w:rFonts w:ascii="Arial Narrow" w:hAnsi="Arial Narrow"/>
          <w:sz w:val="20"/>
          <w:szCs w:val="20"/>
          <w:lang w:val="fr-FR"/>
        </w:rPr>
        <w:instrText>36.77%]</w:instrText>
      </w:r>
      <w:r w:rsidRPr="00157B9E">
        <w:rPr>
          <w:rFonts w:ascii="Arial" w:hAnsi="Arial" w:cs="Arial"/>
          <w:sz w:val="20"/>
          <w:szCs w:val="20"/>
          <w:lang w:val="fr-FR"/>
        </w:rPr>
        <w:instrText>‎</w:instrText>
      </w:r>
      <w:r w:rsidRPr="00157B9E">
        <w:rPr>
          <w:rFonts w:ascii="Arial Narrow" w:hAnsi="Arial Narrow"/>
          <w:sz w:val="20"/>
          <w:szCs w:val="20"/>
          <w:lang w:val="fr-FR"/>
        </w:rPr>
        <w:instrText xml:space="preserve"> and 57 support staff [</w:instrText>
      </w:r>
      <w:r w:rsidRPr="00157B9E">
        <w:rPr>
          <w:rFonts w:ascii="Arial" w:hAnsi="Arial" w:cs="Arial"/>
          <w:sz w:val="20"/>
          <w:szCs w:val="20"/>
          <w:lang w:val="fr-FR"/>
        </w:rPr>
        <w:instrText>‎</w:instrText>
      </w:r>
      <w:r w:rsidRPr="00157B9E">
        <w:rPr>
          <w:rFonts w:ascii="Arial Narrow" w:hAnsi="Arial Narrow"/>
          <w:sz w:val="20"/>
          <w:szCs w:val="20"/>
          <w:lang w:val="fr-FR"/>
        </w:rPr>
        <w:instrText>9.45%]</w:instrText>
      </w:r>
      <w:r w:rsidRPr="00157B9E">
        <w:rPr>
          <w:rFonts w:ascii="Arial" w:hAnsi="Arial" w:cs="Arial"/>
          <w:sz w:val="20"/>
          <w:szCs w:val="20"/>
          <w:lang w:val="fr-FR"/>
        </w:rPr>
        <w:instrText>‎</w:instrText>
      </w:r>
      <w:r w:rsidRPr="00157B9E">
        <w:rPr>
          <w:rFonts w:ascii="Arial Narrow" w:hAnsi="Arial Narrow"/>
          <w:sz w:val="20"/>
          <w:szCs w:val="20"/>
          <w:lang w:val="fr-FR"/>
        </w:rPr>
        <w:instrText>, belonging to other various categories working in different departments. This is a young population since 79.7% are under 30 years old. The results have shown that only 28.72% of health care professionals had received training in SP. Moreover, 87.7% claimed to practice hands' hygiene while moving from one patient to another. In contrast, 75.7% emphasized the need to change gloves each time they work on a new patient. However, individual protection measures were rarely mentioned in several risky situations","container-title":"EMHJ-Eastern Mediterranean Health Journal","ISSN":"1020-3397","issue":"01","journalAbbreviation":"Connaissances, attitudes et pratiques vis-à-vis des précautions standard chez les soignants du Centre hospitalier universitaire Hassan II de Fès (</w:instrText>
      </w:r>
      <w:r w:rsidRPr="00157B9E">
        <w:rPr>
          <w:rFonts w:ascii="Arial" w:hAnsi="Arial" w:cs="Arial"/>
          <w:sz w:val="20"/>
          <w:szCs w:val="20"/>
          <w:lang w:val="fr-FR"/>
        </w:rPr>
        <w:instrText>‎</w:instrText>
      </w:r>
      <w:r w:rsidRPr="00157B9E">
        <w:rPr>
          <w:rFonts w:ascii="Arial Narrow" w:hAnsi="Arial Narrow"/>
          <w:sz w:val="20"/>
          <w:szCs w:val="20"/>
          <w:lang w:val="fr-FR"/>
        </w:rPr>
        <w:instrText>Maroc)</w:instrText>
      </w:r>
      <w:r w:rsidRPr="00157B9E">
        <w:rPr>
          <w:rFonts w:ascii="Arial" w:hAnsi="Arial" w:cs="Arial"/>
          <w:sz w:val="20"/>
          <w:szCs w:val="20"/>
          <w:lang w:val="fr-FR"/>
        </w:rPr>
        <w:instrText>‎</w:instrText>
      </w:r>
      <w:r w:rsidRPr="00157B9E">
        <w:rPr>
          <w:rFonts w:ascii="Arial Narrow" w:hAnsi="Arial Narrow"/>
          <w:sz w:val="20"/>
          <w:szCs w:val="20"/>
          <w:lang w:val="fr-FR"/>
        </w:rPr>
        <w:instrText xml:space="preserve">","language":"fr","note":"Accepted: 2018-05-16T22:18:46Z\npublisher: World Health Organization, Regional Office for the Eastern Mediterranean","page":"5-12","source":"iris.who.int","title":"Knowledge, attitudes and practices towards standard precautions [SP] among caregivers at Hassan II University Teaching Hospital in Fes, Morocco","volume":"23","author":[{"family":"Benboubker","given":"Moussa"},{"family":"El Marnissi","given":"Boujemaa"},{"family":"Nhili","given":"Aziz"},{"family":"El Rhazi","given":"Karima"}],"issued":{"date-parts":[["2017",1]]}}}],"schema":"https://github.com/citation-style-language/schema/raw/master/csl-citation.json"}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[21]</w:t>
      </w:r>
      <w:r w:rsidRPr="00157B9E">
        <w:rPr>
          <w:rFonts w:ascii="Arial Narrow" w:hAnsi="Arial Narrow"/>
          <w:sz w:val="20"/>
          <w:szCs w:val="20"/>
          <w:lang w:val="fr-FR"/>
        </w:rPr>
        <w:fldChar w:fldCharType="end"/>
      </w:r>
      <w:r w:rsidRPr="00157B9E">
        <w:rPr>
          <w:rFonts w:ascii="Arial Narrow" w:hAnsi="Arial Narrow"/>
          <w:sz w:val="20"/>
          <w:szCs w:val="20"/>
          <w:lang w:val="fr-FR"/>
        </w:rPr>
        <w:t xml:space="preserve">. Ces faibles proportions de conformité aux recommandations dans notre étude pourraient s’expliquer par plusieurs facteurs. Le comportement des agents de santé est bien souvent calqué sur ce qu’ils ont vu et/ou appris auprès de leurs ainés et mentors lors des stages au cours de leur formation. Ainsi, un mentor n’ayant pas de bonnes connaissances transmet ses pratiques inadaptées à ses apprenants. Le manque de formation rapporté pourrait également expliquer ces pratiques dans notre contexte. Cela pourrait également s’expliquer par l’absence de ressources matérielles. En effet, les dotations en consommables médicaux tels que les savons, les serviettes, les gels hydroalcooliques, les gants et les calots de protections des cheveux sont souvent très insuffisantes dans notre contexte. De plus, les hôpitaux sont souvent sujets à des interruptions des services d’eau courante et/ou d’électricité qui impactent négativement les activités liées à l’hygiène. La mise en place d’interventions de rappel sur les précautions standards de prévention des infections tels que les affiches sur le lieu de travail ou les présentations de courte durée au sein des services pourraient constituer des mesures efficaces pour améliorer les connaissances et les pratiques en matière de prévention des IAS </w:t>
      </w:r>
      <w:r w:rsidRPr="00157B9E">
        <w:rPr>
          <w:rFonts w:ascii="Arial Narrow" w:hAnsi="Arial Narrow"/>
          <w:sz w:val="20"/>
          <w:szCs w:val="20"/>
          <w:lang w:val="fr-FR"/>
        </w:rPr>
        <w:fldChar w:fldCharType="begin"/>
      </w:r>
      <w:r w:rsidRPr="00157B9E">
        <w:rPr>
          <w:rFonts w:ascii="Arial Narrow" w:hAnsi="Arial Narrow"/>
          <w:sz w:val="20"/>
          <w:szCs w:val="20"/>
          <w:lang w:val="fr-FR"/>
        </w:rPr>
        <w:instrText xml:space="preserve"> ADDIN ZOTERO_ITEM CSL_CITATION {"citationID":"7k4Z9cll","properties":{"formattedCitation":"[31, 32]","plainCitation":"[31, 32]","noteIndex":0},"citationItems":[{"id":5336,"uris":["http://zotero.org/groups/5671772/items/BIVBL7JE"],"itemData":{"id":5336,"type":"article-journal","abstract":"Introduction Hand hygiene is key in preventing healthcare-associated infections, but it is challenging in maternity settings due to high patient turnover, frequent emergencies and volume of aseptic procedures. We sought to investigate if adaptions to the WHO hand hygiene reminders could improve their acceptability in maternity settings globally, and use these findings to develop new reminders specific to maternity settings.\nMethods Informed by Sekhon et al’s acceptability framework, we conducted an online survey, semi-structured interviews and a focus group examining the three WHO central hand hygiene reminders (‘your five moments of hand hygiene’, ‘how to hand wash’ and ‘how to hand rub’) and their acceptability in maternity settings. A convergent mixed-methods study design was followed. Findings were examined overall and by country income status. A WHO expert working group tested the integrated findings, further refined results and developed recommendations to improve acceptability for use in the global maternity community. Findings were used to inform the development of two novel and acceptable hand hygiene reminders for use in high-income country (HIC) and low- and middle-income country (LMIC) maternity settings.\nResults Participation in the survey (n=342), semi-structured interviews (n=12) and focus group (n=7) spanned 51 countries (14 HICs and 37 LMICs). The highest scoring acceptability constructs were clarity of the intervention (intervention coherence), confidence in performance (self-efficacy), and alignment with personal values (ethicality). The lowest performing were perceived difficulty (burden) and how the intervention made the participant feel (affective attitude). Overfamiliarity reduced acceptability in HICs (perceived effectiveness). In LMICs, resource availability was a barrier to implementation (opportunity cost). Two new reminders were developed based on the findings, using inclusive female images, and clinical examples from maternity settings.\nConclusion Following methodologically robust adaptation, two novel and inclusive maternity-specific hand hygiene reminders have been developed for use in both HIC and LMICs.","container-title":"BMJ Open","DOI":"10.1136/bmjopen-2023-083132","ISSN":"2044-6055, 2044-6055","issue":"9","language":"en","license":"© World Health Organization 2024. Licensee BMJ.. https://creativecommons.org/licenses/by/3.0/igo/This is an open access article distributed under the terms of the Creative Commons Attribution IGO License (CC BY 3.0 IGO), which permits use, distribution,and reproduction in any medium, provided the original work is properly cited. In any reproduction of this article there should not be any suggestion that WHO or this article endorse any specific organization or products. The use of the WHO logo is not permitted. This notice should be preserved along with the article’s original URL.","note":"publisher: British Medical Journal Publishing Group\nsection: Obstetrics and gynaecology\nPMID: 39289025","page":"e083132","source":"login.research4life.org","title":"Adapting the WHO hand hygiene ‘reminders in the workplace’ to improve acceptability for healthcare workers in maternity settings worldwide: a mixed methods study","title-short":"Adapting the WHO hand hygiene ‘reminders in the workplace’ to improve acceptability for healthcare workers in maternity settings worldwide","volume":"14","author":[{"family":"Dunlop","given":"Catherine Louise"},{"family":"Kilpatrick","given":"Claire"},{"family":"Jones","given":"Laura"},{"family":"Bonet","given":"Mercedes"},{"family":"Allegranzi","given":"Benedetta"},{"family":"Brizuela","given":"Vanessa"},{"family":"Graham","given":"Wendy"},{"family":"Thompson","given":"Amy"},{"family":"Cheshire","given":"James"},{"family":"Lissauer","given":"David"}],"issued":{"date-parts":[["2024",9,1]]}},"label":"page"},{"id":5365,"uris":["http://zotero.org/groups/5671772/items/N4J4SIPR"],"itemData":{"id":5365,"type":"article-journal","container-title":"Journal of Hospital Infection","DOI":"10.1016/j.jhin.2004.12.014","ISSN":"0195-6701, 1532-2939","issue":"3","journalAbbreviation":"Journal of Hospital Infection","language":"English","note":"publisher: Elsevier\nPMID: 15949613","page":"218-225","source":"www.journalofhospitalinfection.com","title":"Hand hygiene posters: motivators or mixed messages?","title-short":"Hand hygiene posters","volume":"60","author":[{"family":"Jenner","given":"E. A."},{"family":"Jones","given":"F."},{"family":"Fletcher","given":"B. (c)"},{"family":"Miller","given":"L."},{"family":"Scott","given":"G. M."}],"issued":{"date-parts":[["2005",7,1]]}},"label":"page"}],"schema":"https://github.com/citation-style-language/schema/raw/master/csl-citation.json"} </w:instrText>
      </w:r>
      <w:r w:rsidRPr="00157B9E">
        <w:rPr>
          <w:rFonts w:ascii="Arial Narrow" w:hAnsi="Arial Narrow"/>
          <w:sz w:val="20"/>
          <w:szCs w:val="20"/>
          <w:lang w:val="fr-FR"/>
        </w:rPr>
        <w:fldChar w:fldCharType="separate"/>
      </w:r>
      <w:r w:rsidRPr="00157B9E">
        <w:rPr>
          <w:rFonts w:ascii="Arial Narrow" w:hAnsi="Arial Narrow"/>
          <w:sz w:val="20"/>
          <w:szCs w:val="20"/>
          <w:lang w:val="fr-FR"/>
        </w:rPr>
        <w:t>[31, 32]</w:t>
      </w:r>
      <w:r w:rsidRPr="00157B9E">
        <w:rPr>
          <w:rFonts w:ascii="Arial Narrow" w:hAnsi="Arial Narrow"/>
          <w:sz w:val="20"/>
          <w:szCs w:val="20"/>
          <w:lang w:val="fr-FR"/>
        </w:rPr>
        <w:fldChar w:fldCharType="end"/>
      </w:r>
      <w:r w:rsidRPr="00157B9E">
        <w:rPr>
          <w:rFonts w:ascii="Arial Narrow" w:hAnsi="Arial Narrow"/>
          <w:sz w:val="20"/>
          <w:szCs w:val="20"/>
          <w:lang w:val="fr-FR"/>
        </w:rPr>
        <w:t>.</w:t>
      </w:r>
    </w:p>
    <w:p w14:paraId="107DD5A5" w14:textId="1AAC01BC" w:rsidR="00157B9E" w:rsidRPr="00157B9E" w:rsidRDefault="00157B9E" w:rsidP="00157B9E">
      <w:pPr>
        <w:jc w:val="both"/>
        <w:rPr>
          <w:lang w:val="fr-FR"/>
        </w:rPr>
      </w:pPr>
      <w:r w:rsidRPr="00157B9E">
        <w:rPr>
          <w:rFonts w:ascii="Arial Narrow" w:hAnsi="Arial Narrow"/>
          <w:sz w:val="20"/>
          <w:szCs w:val="20"/>
          <w:lang w:val="fr-FR"/>
        </w:rPr>
        <w:t>L’interprétation de nos résultats doit se faire en tenant compte de certaines limites. La méthode de collecte des données restreint le remplissage des informations aux agents de santé résidant dans des zones géographiques couvertes par une bonne connectivité internet, et disposant de périphériques adaptés pour afficher le questionnaire. De plus la participation à l’étude était volontaire, ce qui expose à un possible biais de sélection. Les participants de notre étude pourraient donc ne pas être représentatifs de l’ensemble des PS du Burkina Faso. Les réponses étaient basées sur du déclaratif, cela pourrait induire un biais d’information sur certaines variables. Cependant, l’anonymat du questionnaire pourrait minimiser ce biais. Malgré ces limites, notre étude qui a inclus 963 agents de santé reste original. La méthodologie et l'échantillonnage utilisés ont permis la participation de divers groupes de PS, avec un large éventail d’expériences et de profils, exerçant à tous les niveaux de la pyramide sanitaire du Burkina Faso. Elle nous a permis de mettre en lumière la faible connaissance et la proportion élevée de pratiques inadéquates des agents de santé en termes de précautions standards de prévention des infections au Burkina Faso. Nos résultats interpellent sur la nécessité de mettre un accent sur la formation initiale et les formations continuent des PS sur la prévention des IAS.</w:t>
      </w:r>
    </w:p>
    <w:p w14:paraId="36EC7E05" w14:textId="63E3202F" w:rsidR="009814C2" w:rsidRPr="000076D1" w:rsidRDefault="009814C2" w:rsidP="005B72EA">
      <w:pPr>
        <w:pStyle w:val="Titre1"/>
        <w:numPr>
          <w:ilvl w:val="0"/>
          <w:numId w:val="0"/>
        </w:numPr>
        <w:rPr>
          <w:rFonts w:ascii="Arial Narrow" w:hAnsi="Arial Narrow"/>
          <w:sz w:val="24"/>
          <w:szCs w:val="24"/>
          <w:lang w:val="fr-FR"/>
        </w:rPr>
      </w:pPr>
      <w:r w:rsidRPr="000076D1">
        <w:rPr>
          <w:rFonts w:ascii="Arial Narrow" w:hAnsi="Arial Narrow"/>
          <w:sz w:val="24"/>
          <w:szCs w:val="24"/>
          <w:lang w:val="fr-FR"/>
        </w:rPr>
        <w:t>Conclusion</w:t>
      </w:r>
    </w:p>
    <w:p w14:paraId="44D71A30" w14:textId="0951A658" w:rsidR="00A57EA0" w:rsidRPr="000076D1" w:rsidRDefault="00157B9E" w:rsidP="00A57EA0">
      <w:pPr>
        <w:spacing w:after="0"/>
        <w:jc w:val="both"/>
        <w:rPr>
          <w:sz w:val="18"/>
          <w:szCs w:val="18"/>
          <w:lang w:val="fr-FR"/>
        </w:rPr>
      </w:pPr>
      <w:r w:rsidRPr="00157B9E">
        <w:rPr>
          <w:rFonts w:ascii="Arial Narrow" w:hAnsi="Arial Narrow"/>
          <w:sz w:val="20"/>
          <w:szCs w:val="20"/>
          <w:lang w:val="fr-FR"/>
        </w:rPr>
        <w:t xml:space="preserve">Cette étude a montré que les PS au Burkina Faso ont une faible connaissance des précautions standards de préventions des IAS, et que leurs pratiques sont peu conformes. </w:t>
      </w:r>
      <w:bookmarkStart w:id="10" w:name="_Hlk148278411"/>
      <w:r w:rsidRPr="00157B9E">
        <w:rPr>
          <w:rFonts w:ascii="Arial Narrow" w:hAnsi="Arial Narrow"/>
          <w:sz w:val="20"/>
          <w:szCs w:val="20"/>
          <w:lang w:val="fr-FR"/>
        </w:rPr>
        <w:t xml:space="preserve">La formation des PS afin de renforcer leurs connaissances et la promotion des pratiques recommandées en matière de précautions standards de prévention des infections </w:t>
      </w:r>
      <w:bookmarkEnd w:id="10"/>
      <w:r w:rsidRPr="00157B9E">
        <w:rPr>
          <w:rFonts w:ascii="Arial Narrow" w:hAnsi="Arial Narrow"/>
          <w:sz w:val="20"/>
          <w:szCs w:val="20"/>
          <w:lang w:val="fr-FR"/>
        </w:rPr>
        <w:t>sont indispensables pour réduire la morbidité et la mortalité liées aux IAS.</w:t>
      </w:r>
    </w:p>
    <w:p w14:paraId="7A3A2A45" w14:textId="3BB0CA42" w:rsidR="009814C2" w:rsidRPr="000076D1" w:rsidRDefault="009814C2" w:rsidP="005B72EA">
      <w:pPr>
        <w:pStyle w:val="Titre1"/>
        <w:numPr>
          <w:ilvl w:val="0"/>
          <w:numId w:val="0"/>
        </w:numPr>
        <w:rPr>
          <w:rFonts w:ascii="Arial Narrow" w:hAnsi="Arial Narrow"/>
          <w:sz w:val="24"/>
          <w:szCs w:val="24"/>
          <w:lang w:val="fr-FR"/>
        </w:rPr>
      </w:pPr>
      <w:r w:rsidRPr="000076D1">
        <w:rPr>
          <w:rFonts w:ascii="Arial Narrow" w:hAnsi="Arial Narrow"/>
          <w:sz w:val="24"/>
          <w:szCs w:val="24"/>
          <w:lang w:val="fr-FR"/>
        </w:rPr>
        <w:t>Conflits d’intérêts</w:t>
      </w:r>
    </w:p>
    <w:p w14:paraId="21EF5684" w14:textId="135A1C56" w:rsidR="00A57EA0" w:rsidRPr="000076D1" w:rsidRDefault="00A57EA0" w:rsidP="00533865">
      <w:pPr>
        <w:spacing w:after="0"/>
        <w:rPr>
          <w:sz w:val="18"/>
          <w:szCs w:val="18"/>
          <w:lang w:val="fr-FR"/>
        </w:rPr>
      </w:pPr>
      <w:r w:rsidRPr="000076D1">
        <w:rPr>
          <w:rFonts w:ascii="Arial Narrow" w:hAnsi="Arial Narrow"/>
          <w:sz w:val="20"/>
          <w:szCs w:val="20"/>
          <w:lang w:val="fr-FR"/>
        </w:rPr>
        <w:t>Aucun</w:t>
      </w:r>
    </w:p>
    <w:p w14:paraId="0E03C295" w14:textId="4BF351A2" w:rsidR="00B6748B" w:rsidRPr="000076D1" w:rsidRDefault="00B6748B" w:rsidP="005B72EA">
      <w:pPr>
        <w:pStyle w:val="Titre1"/>
        <w:numPr>
          <w:ilvl w:val="0"/>
          <w:numId w:val="0"/>
        </w:numPr>
        <w:rPr>
          <w:rFonts w:ascii="Arial Narrow" w:hAnsi="Arial Narrow"/>
          <w:sz w:val="24"/>
          <w:szCs w:val="24"/>
          <w:lang w:val="fr-FR"/>
        </w:rPr>
      </w:pPr>
      <w:r w:rsidRPr="000076D1">
        <w:rPr>
          <w:rFonts w:ascii="Arial Narrow" w:hAnsi="Arial Narrow"/>
          <w:sz w:val="24"/>
          <w:szCs w:val="24"/>
          <w:lang w:val="fr-FR"/>
        </w:rPr>
        <w:t>Remerciements</w:t>
      </w:r>
    </w:p>
    <w:p w14:paraId="2EECFE1B" w14:textId="77777777" w:rsidR="00157B9E" w:rsidRPr="000076D1" w:rsidRDefault="00157B9E" w:rsidP="00157B9E">
      <w:pPr>
        <w:spacing w:after="0"/>
        <w:rPr>
          <w:sz w:val="18"/>
          <w:szCs w:val="18"/>
          <w:lang w:val="fr-FR"/>
        </w:rPr>
      </w:pPr>
      <w:r w:rsidRPr="000076D1">
        <w:rPr>
          <w:rFonts w:ascii="Arial Narrow" w:hAnsi="Arial Narrow"/>
          <w:sz w:val="20"/>
          <w:szCs w:val="20"/>
          <w:lang w:val="fr-FR"/>
        </w:rPr>
        <w:t>Aucun</w:t>
      </w:r>
    </w:p>
    <w:p w14:paraId="1A5F48BF" w14:textId="3FCBF1B0" w:rsidR="00673FF8" w:rsidRPr="000076D1" w:rsidRDefault="00000000" w:rsidP="005B72EA">
      <w:pPr>
        <w:pStyle w:val="Titre1"/>
        <w:numPr>
          <w:ilvl w:val="0"/>
          <w:numId w:val="0"/>
        </w:numPr>
        <w:rPr>
          <w:rFonts w:ascii="Arial Narrow" w:hAnsi="Arial Narrow"/>
          <w:sz w:val="24"/>
          <w:szCs w:val="24"/>
          <w:lang w:val="fr-FR"/>
        </w:rPr>
      </w:pPr>
      <w:r w:rsidRPr="000076D1">
        <w:rPr>
          <w:rFonts w:ascii="Arial Narrow" w:hAnsi="Arial Narrow"/>
          <w:sz w:val="24"/>
          <w:szCs w:val="24"/>
          <w:lang w:val="fr-FR"/>
        </w:rPr>
        <w:lastRenderedPageBreak/>
        <w:t>Références</w:t>
      </w:r>
    </w:p>
    <w:p w14:paraId="6CE729D7" w14:textId="77777777" w:rsidR="00157B9E" w:rsidRPr="00157B9E" w:rsidRDefault="00533865" w:rsidP="00157B9E">
      <w:pPr>
        <w:pStyle w:val="Bibliographie"/>
        <w:jc w:val="both"/>
        <w:rPr>
          <w:rFonts w:ascii="Arial Narrow" w:hAnsi="Arial Narrow" w:cs="Times New Roman"/>
          <w:sz w:val="20"/>
          <w:szCs w:val="18"/>
        </w:rPr>
      </w:pPr>
      <w:r w:rsidRPr="00B70D67">
        <w:rPr>
          <w:b/>
          <w:bCs/>
        </w:rPr>
        <w:fldChar w:fldCharType="begin"/>
      </w:r>
      <w:r w:rsidRPr="00533865">
        <w:rPr>
          <w:b/>
          <w:bCs/>
          <w:lang w:val="fr-FR"/>
        </w:rPr>
        <w:instrText xml:space="preserve"> ADDIN ZOTERO_BIBL {"uncited":[],"omitted":[],"custom":[]} CSL_BIBLIOGRAPHY </w:instrText>
      </w:r>
      <w:r w:rsidRPr="00B70D67">
        <w:rPr>
          <w:b/>
          <w:bCs/>
        </w:rPr>
        <w:fldChar w:fldCharType="separate"/>
      </w:r>
      <w:r w:rsidR="00157B9E">
        <w:rPr>
          <w:sz w:val="28"/>
        </w:rPr>
        <w:fldChar w:fldCharType="begin"/>
      </w:r>
      <w:r w:rsidR="00157B9E">
        <w:instrText xml:space="preserve"> ADDIN ZOTERO_BIBL {"uncited":[],"omitted":[],"custom":[]} CSL_BIBLIOGRAPHY </w:instrText>
      </w:r>
      <w:r w:rsidR="00157B9E">
        <w:rPr>
          <w:sz w:val="28"/>
        </w:rPr>
        <w:fldChar w:fldCharType="separate"/>
      </w:r>
      <w:r w:rsidR="00157B9E" w:rsidRPr="00157B9E">
        <w:rPr>
          <w:rFonts w:ascii="Arial Narrow" w:hAnsi="Arial Narrow" w:cs="Times New Roman"/>
          <w:sz w:val="20"/>
          <w:szCs w:val="18"/>
        </w:rPr>
        <w:t>1. Comité technique national des Infections nosocomiales. Cent recommandations pour la surveillance et la prévention des infections nosocomiales. 2ème édition. Ministère de l’emploi et de la solidarité, Paris 1999</w:t>
      </w:r>
      <w:r w:rsidR="00157B9E" w:rsidRPr="00157B9E">
        <w:rPr>
          <w:rFonts w:ascii="Arial" w:hAnsi="Arial" w:cs="Arial"/>
          <w:sz w:val="20"/>
          <w:szCs w:val="18"/>
        </w:rPr>
        <w:t> </w:t>
      </w:r>
      <w:r w:rsidR="00157B9E" w:rsidRPr="00157B9E">
        <w:rPr>
          <w:rFonts w:ascii="Arial Narrow" w:hAnsi="Arial Narrow" w:cs="Times New Roman"/>
          <w:sz w:val="20"/>
          <w:szCs w:val="18"/>
        </w:rPr>
        <w:t>: 128 p.</w:t>
      </w:r>
    </w:p>
    <w:p w14:paraId="7B3D1A88"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 Alrebish SA, Yusufoglu HS, Alotibi RF, Abdulkhalik NS, Ahmed NJ, Khan AH. Epidemiology of Healthcare-Associated Infections and Adherence to the HAI Prevention Strategies. Healthcare. 2023;11:63.</w:t>
      </w:r>
    </w:p>
    <w:p w14:paraId="722FD64E"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3. Liu X, Long Y, Greenhalgh C, Steeg S, Wilkinson J, Li H, et al. A systematic review and meta-analysis of risk factors associated with healthcare-associated infections among hospitalized patients in Chinese general hospitals from 2001 to2022. J Hosp Infect. 2023;135:37–49.</w:t>
      </w:r>
    </w:p>
    <w:p w14:paraId="303D54C4"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4. Melariri H, Freercks R, Merwe E van der, Ham-Baloyi WT, Oyedele O, Murphy RA, et al. The burden of hospital-acquired infections (HAI) in sub-Saharan Africa: a systematic review and meta-analysis. eClinicalMedicine. 2024;71.</w:t>
      </w:r>
    </w:p>
    <w:p w14:paraId="3BE9A25E"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5. Keita AK, Doumbouya N, Sow MS, Konaté B, Dabo Y, Panzo DA, et al. Prévalence des infections nosocomiales dans deux hôpitaux de Conakry (Guinée): Santé Publique. 2016;Vol. 28:251–5.</w:t>
      </w:r>
    </w:p>
    <w:p w14:paraId="0D06CEB6"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6. Guetarni N, Besbes FZ, Derkaoui AB, Zoubir A, Zouagui S. Infections Nosocomiales (IN)</w:t>
      </w:r>
      <w:r w:rsidRPr="00157B9E">
        <w:rPr>
          <w:rFonts w:ascii="Arial" w:hAnsi="Arial" w:cs="Arial"/>
          <w:sz w:val="20"/>
          <w:szCs w:val="18"/>
        </w:rPr>
        <w:t> </w:t>
      </w:r>
      <w:r w:rsidRPr="00157B9E">
        <w:rPr>
          <w:rFonts w:ascii="Arial Narrow" w:hAnsi="Arial Narrow" w:cs="Times New Roman"/>
          <w:sz w:val="20"/>
          <w:szCs w:val="18"/>
        </w:rPr>
        <w:t>: Enqu</w:t>
      </w:r>
      <w:r w:rsidRPr="00157B9E">
        <w:rPr>
          <w:rFonts w:ascii="Arial Narrow" w:hAnsi="Arial Narrow" w:cs="Arial Narrow"/>
          <w:sz w:val="20"/>
          <w:szCs w:val="18"/>
        </w:rPr>
        <w:t>ê</w:t>
      </w:r>
      <w:r w:rsidRPr="00157B9E">
        <w:rPr>
          <w:rFonts w:ascii="Arial Narrow" w:hAnsi="Arial Narrow" w:cs="Times New Roman"/>
          <w:sz w:val="20"/>
          <w:szCs w:val="18"/>
        </w:rPr>
        <w:t>te de pr</w:t>
      </w:r>
      <w:r w:rsidRPr="00157B9E">
        <w:rPr>
          <w:rFonts w:ascii="Arial Narrow" w:hAnsi="Arial Narrow" w:cs="Arial Narrow"/>
          <w:sz w:val="20"/>
          <w:szCs w:val="18"/>
        </w:rPr>
        <w:t>é</w:t>
      </w:r>
      <w:r w:rsidRPr="00157B9E">
        <w:rPr>
          <w:rFonts w:ascii="Arial Narrow" w:hAnsi="Arial Narrow" w:cs="Times New Roman"/>
          <w:sz w:val="20"/>
          <w:szCs w:val="18"/>
        </w:rPr>
        <w:t>valence et d</w:t>
      </w:r>
      <w:r w:rsidRPr="00157B9E">
        <w:rPr>
          <w:rFonts w:ascii="Arial Narrow" w:hAnsi="Arial Narrow" w:cs="Arial Narrow"/>
          <w:sz w:val="20"/>
          <w:szCs w:val="18"/>
        </w:rPr>
        <w:t>’</w:t>
      </w:r>
      <w:r w:rsidRPr="00157B9E">
        <w:rPr>
          <w:rFonts w:ascii="Arial Narrow" w:hAnsi="Arial Narrow" w:cs="Times New Roman"/>
          <w:sz w:val="20"/>
          <w:szCs w:val="18"/>
        </w:rPr>
        <w:t>identification des facteurs de risque dans un centre hospitalier universitaire de la r</w:t>
      </w:r>
      <w:r w:rsidRPr="00157B9E">
        <w:rPr>
          <w:rFonts w:ascii="Arial Narrow" w:hAnsi="Arial Narrow" w:cs="Arial Narrow"/>
          <w:sz w:val="20"/>
          <w:szCs w:val="18"/>
        </w:rPr>
        <w:t>é</w:t>
      </w:r>
      <w:r w:rsidRPr="00157B9E">
        <w:rPr>
          <w:rFonts w:ascii="Arial Narrow" w:hAnsi="Arial Narrow" w:cs="Times New Roman"/>
          <w:sz w:val="20"/>
          <w:szCs w:val="18"/>
        </w:rPr>
        <w:t>gion ouest d</w:t>
      </w:r>
      <w:r w:rsidRPr="00157B9E">
        <w:rPr>
          <w:rFonts w:ascii="Arial Narrow" w:hAnsi="Arial Narrow" w:cs="Arial Narrow"/>
          <w:sz w:val="20"/>
          <w:szCs w:val="18"/>
        </w:rPr>
        <w:t>’</w:t>
      </w:r>
      <w:r w:rsidRPr="00157B9E">
        <w:rPr>
          <w:rFonts w:ascii="Arial Narrow" w:hAnsi="Arial Narrow" w:cs="Times New Roman"/>
          <w:sz w:val="20"/>
          <w:szCs w:val="18"/>
        </w:rPr>
        <w:t>Alg</w:t>
      </w:r>
      <w:r w:rsidRPr="00157B9E">
        <w:rPr>
          <w:rFonts w:ascii="Arial Narrow" w:hAnsi="Arial Narrow" w:cs="Arial Narrow"/>
          <w:sz w:val="20"/>
          <w:szCs w:val="18"/>
        </w:rPr>
        <w:t>é</w:t>
      </w:r>
      <w:r w:rsidRPr="00157B9E">
        <w:rPr>
          <w:rFonts w:ascii="Arial Narrow" w:hAnsi="Arial Narrow" w:cs="Times New Roman"/>
          <w:sz w:val="20"/>
          <w:szCs w:val="18"/>
        </w:rPr>
        <w:t>rie, 2016. 2017.</w:t>
      </w:r>
    </w:p>
    <w:p w14:paraId="5934D86F"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7. Kakupa DK, Muenze PK, Byl B, Dramaix M. Etude de la prévalence des infections nosocomiales et des facteurs associes dans les deux hopitaux universitaires de Lubumbashi, République Démocratique du Congo: cas des Cliniques Universitaires de Lubumbashi et l’Hôpital Janson Sendwe. Pan Afr Med J. 2016;24.</w:t>
      </w:r>
    </w:p>
    <w:p w14:paraId="5B5FFCA1"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8. Rattanaumpawan P, Thamlikitkul V. Epidemiology and economic impact of health care–associated infections and cost-effectiveness of infection control measures at a Thai university hospital. Am J Infect Control. 2017;45:145–50.</w:t>
      </w:r>
    </w:p>
    <w:p w14:paraId="0C6B9252"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9. Global burden of bacterial antimicrobial resistance 1990-2021: a systematic analysis with forecasts to 2050. Lancet Lond Engl. 2024. https://doi.org/10.1016/S0140-6736(24)01867-1.</w:t>
      </w:r>
    </w:p>
    <w:p w14:paraId="15D90180"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10. Balasubramanian R, Boeckel TPV, Carmeli Y, Cosgrove S, Laxminarayan R. Global incidence in hospital-associated infections resistant to antibiotics: An analysis of point prevalence surveys from 99 countries. PLOS Med. 2023;20:e1004178.</w:t>
      </w:r>
    </w:p>
    <w:p w14:paraId="411B3755"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11. Organisation Mondiale de la Santé (OMS). L’OMS publie le tout premier rapport mondial sur la lutte anti-infectieuse. 2022. https://www.who.int/fr/news/item/06-05-2022-who-launches-first-ever-global-report-on-infection-prevention-and-control. Accessed 17 Aug 2023.</w:t>
      </w:r>
    </w:p>
    <w:p w14:paraId="4C269BAF"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12. Allegranzi B, Storr J, Dziekan G, Leotsakos A, Donaldson L, Pittet D. The First Global Patient Safety Challenge “Clean Care is Safer Care”: from launch to current progress and achievements. J Hosp Infect. 2007;65 Suppl 2:115–23.</w:t>
      </w:r>
    </w:p>
    <w:p w14:paraId="002F6052"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13. Standard precautions for the prevention and control of infections: aide-memoire. https://www.who.int/publications/i/item/WHO-UHL-IHS-IPC-2022.1. Accessed 22 Sep 2024.</w:t>
      </w:r>
    </w:p>
    <w:p w14:paraId="348ED1CD"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14. Organization WH. Hand Hygiene for All Initiative: improving access and behaviour in health care facilities. World Health Organization; 2020.</w:t>
      </w:r>
    </w:p>
    <w:p w14:paraId="66137F29"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15. Organisation Mondiale de la Santé (OMS) - Bureau régional pour l’Afrique. Burkina Faso</w:t>
      </w:r>
      <w:r w:rsidRPr="00157B9E">
        <w:rPr>
          <w:rFonts w:ascii="Arial" w:hAnsi="Arial" w:cs="Arial"/>
          <w:sz w:val="20"/>
          <w:szCs w:val="18"/>
        </w:rPr>
        <w:t> </w:t>
      </w:r>
      <w:r w:rsidRPr="00157B9E">
        <w:rPr>
          <w:rFonts w:ascii="Arial Narrow" w:hAnsi="Arial Narrow" w:cs="Times New Roman"/>
          <w:sz w:val="20"/>
          <w:szCs w:val="18"/>
        </w:rPr>
        <w:t>: Am</w:t>
      </w:r>
      <w:r w:rsidRPr="00157B9E">
        <w:rPr>
          <w:rFonts w:ascii="Arial Narrow" w:hAnsi="Arial Narrow" w:cs="Arial Narrow"/>
          <w:sz w:val="20"/>
          <w:szCs w:val="18"/>
        </w:rPr>
        <w:t>é</w:t>
      </w:r>
      <w:r w:rsidRPr="00157B9E">
        <w:rPr>
          <w:rFonts w:ascii="Arial Narrow" w:hAnsi="Arial Narrow" w:cs="Times New Roman"/>
          <w:sz w:val="20"/>
          <w:szCs w:val="18"/>
        </w:rPr>
        <w:t>liorer la pr</w:t>
      </w:r>
      <w:r w:rsidRPr="00157B9E">
        <w:rPr>
          <w:rFonts w:ascii="Arial Narrow" w:hAnsi="Arial Narrow" w:cs="Arial Narrow"/>
          <w:sz w:val="20"/>
          <w:szCs w:val="18"/>
        </w:rPr>
        <w:t>é</w:t>
      </w:r>
      <w:r w:rsidRPr="00157B9E">
        <w:rPr>
          <w:rFonts w:ascii="Arial Narrow" w:hAnsi="Arial Narrow" w:cs="Times New Roman"/>
          <w:sz w:val="20"/>
          <w:szCs w:val="18"/>
        </w:rPr>
        <w:t>vention et le contr</w:t>
      </w:r>
      <w:r w:rsidRPr="00157B9E">
        <w:rPr>
          <w:rFonts w:ascii="Arial Narrow" w:hAnsi="Arial Narrow" w:cs="Arial Narrow"/>
          <w:sz w:val="20"/>
          <w:szCs w:val="18"/>
        </w:rPr>
        <w:t>ô</w:t>
      </w:r>
      <w:r w:rsidRPr="00157B9E">
        <w:rPr>
          <w:rFonts w:ascii="Arial Narrow" w:hAnsi="Arial Narrow" w:cs="Times New Roman"/>
          <w:sz w:val="20"/>
          <w:szCs w:val="18"/>
        </w:rPr>
        <w:t>le de infections (PCI) dans les structures sanitaires de la R</w:t>
      </w:r>
      <w:r w:rsidRPr="00157B9E">
        <w:rPr>
          <w:rFonts w:ascii="Arial Narrow" w:hAnsi="Arial Narrow" w:cs="Arial Narrow"/>
          <w:sz w:val="20"/>
          <w:szCs w:val="18"/>
        </w:rPr>
        <w:t>é</w:t>
      </w:r>
      <w:r w:rsidRPr="00157B9E">
        <w:rPr>
          <w:rFonts w:ascii="Arial Narrow" w:hAnsi="Arial Narrow" w:cs="Times New Roman"/>
          <w:sz w:val="20"/>
          <w:szCs w:val="18"/>
        </w:rPr>
        <w:t>gion du Centre. OMS | Bureau r</w:t>
      </w:r>
      <w:r w:rsidRPr="00157B9E">
        <w:rPr>
          <w:rFonts w:ascii="Arial Narrow" w:hAnsi="Arial Narrow" w:cs="Arial Narrow"/>
          <w:sz w:val="20"/>
          <w:szCs w:val="18"/>
        </w:rPr>
        <w:t>é</w:t>
      </w:r>
      <w:r w:rsidRPr="00157B9E">
        <w:rPr>
          <w:rFonts w:ascii="Arial Narrow" w:hAnsi="Arial Narrow" w:cs="Times New Roman"/>
          <w:sz w:val="20"/>
          <w:szCs w:val="18"/>
        </w:rPr>
        <w:t>gional pour l</w:t>
      </w:r>
      <w:r w:rsidRPr="00157B9E">
        <w:rPr>
          <w:rFonts w:ascii="Arial Narrow" w:hAnsi="Arial Narrow" w:cs="Arial Narrow"/>
          <w:sz w:val="20"/>
          <w:szCs w:val="18"/>
        </w:rPr>
        <w:t>’</w:t>
      </w:r>
      <w:r w:rsidRPr="00157B9E">
        <w:rPr>
          <w:rFonts w:ascii="Arial Narrow" w:hAnsi="Arial Narrow" w:cs="Times New Roman"/>
          <w:sz w:val="20"/>
          <w:szCs w:val="18"/>
        </w:rPr>
        <w:t>Afrique. 2023. https://www.afro.who.int/fr/news/burkina-faso-ameliorer-la-prevention-et-le-controle-de-infections-pci-dans-les-structures. Accessed 17 Aug 2023.</w:t>
      </w:r>
    </w:p>
    <w:p w14:paraId="15024062"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lastRenderedPageBreak/>
        <w:t>16. Observatoire National de la Santé de la Population - Ministère de la Santé et de l’Hygiène Publique (Burkina Faso). Aperçu de quelques indicateurs pays. ONSP. https://onsp-sante.bf/. Accessed 8 Aug 2023.</w:t>
      </w:r>
    </w:p>
    <w:p w14:paraId="126CA614"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17. Ministère de la Santé et de l’Hygiène Publique - Burkina Faso. Annuaire Statistique 2021. 2022.</w:t>
      </w:r>
    </w:p>
    <w:p w14:paraId="6D2C02C3"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18. Organisation Mondiale de la Santé (OMS). hand-hygiene-knowledge-questionnaire.doc. 2009.</w:t>
      </w:r>
    </w:p>
    <w:p w14:paraId="4C72E734"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19. Modi PD, Kumar P, Solanki R, Modi J, Chandramani S, Gill N. Hand hygiene practices among Indian medical undergraduates: a questionnaire-based survey. Cureus. 2017;9.</w:t>
      </w:r>
    </w:p>
    <w:p w14:paraId="6F1C932C"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20. Dossounon PB, Baba-Mousssa F, Dougnon V, Noumavo P, Assogba S. Evaluation des pratiques d’hygiène hospitalière en période de covid-19 à l’hôpital de zone de Covè. Technical Report. EPAC/UAC; 2021.</w:t>
      </w:r>
    </w:p>
    <w:p w14:paraId="364704A8"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21. Benboubker M, El Marnissi B, Nhili A, El Rhazi K. Knowledge, attitudes and practices towards standard precautions [SP] among caregivers at Hassan II University Teaching Hospital in Fes, Morocco. EMHJ-East Mediterr Health J. 2017;23:5–12.</w:t>
      </w:r>
    </w:p>
    <w:p w14:paraId="5D8A7CAB"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22. Girgis Awadalla BM. Compliance with Standard Precautions Among Operating Room Nurses at a University Hospital, Egypt. Am J Biomed Sci Res. 2019;3:272–6.</w:t>
      </w:r>
    </w:p>
    <w:p w14:paraId="24DD8B95"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23. Keleb A, Lingerew M, Ademas A, Berihun G, Sisay T, Adane M. The magnitude of standard precautions practice and its associated factors among healthcare workers in governmental hospitals of northeastern Ethiopia. Front Health Serv. 2023;3:1071517.</w:t>
      </w:r>
    </w:p>
    <w:p w14:paraId="62409656"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24. Amoran O, Onwube O. Infection Control and Practice of Standard Precautions Among Healthcare Workers in Northern Nigeria. J Glob Infect Dis. 2013;5:156–63.</w:t>
      </w:r>
    </w:p>
    <w:p w14:paraId="62D45ED2"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25. Abuduxike G, Acar Vaizoglu S, Asut O, Cali S. An Assessment of the Knowledge, Attitude, and Practice Toward Standard Precautions Among Health Workers From a Hospital in Northern Cyprus. Saf Health Work. 2021;12:66–73.</w:t>
      </w:r>
    </w:p>
    <w:p w14:paraId="0846889E"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26. Abalkhail A, Al Imam MH, Elmosaad YM, Jaber MF, Hosis KA, Alhumaydhi FA, et al. Knowledge, Attitude and Practice of Standard Infection Control Precautions among Health-Care Workers in a University Hospital in Qassim, Saudi Arabia: A Cross-Sectional Survey. Int J Environ Res Public Health. 2021;18:11831.</w:t>
      </w:r>
    </w:p>
    <w:p w14:paraId="14F3BF36"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27. Ogoina D, Pondei K, Adetunji B, Chima G, Isichei C, Gidado S. Knowledge, attitude and practice of standard precautions of infection control by hospital workers in two tertiary hospitals in Nigeria. J Infect Prev. 2015;16:16–22.</w:t>
      </w:r>
    </w:p>
    <w:p w14:paraId="65FB3BBA"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28. Kim J, Yu SN, Jeong YS, Kim JH, Jeon MH, Kim T, et al. Hand hygiene knowledge, attitude, barriers and improvement measures among healthcare workers in the Republic of Korea: a cross-sectional survey exploring interprofessional differences. Antimicrob Resist Infect Control. 2023;12:1–9.</w:t>
      </w:r>
    </w:p>
    <w:p w14:paraId="722F48DA"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29. Bonet M, Nogueira Pileggi V, Rijken MJ, Coomarasamy A, Lissauer D, Souza JP, et al. Towards a consensus definition of maternal sepsis: results of a systematic review and expert consultation. Reprod Health. 2017;14:1–13.</w:t>
      </w:r>
    </w:p>
    <w:p w14:paraId="1B0ABDD2"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30. Gon G, de Barra M, Dansero L, Nash S, Campbell OMR. Birth attendants’ hand hygiene compliance in healthcare facilities in low and middle-income countries: a systematic review. BMC Health Serv Res. 2020;20:1–16.</w:t>
      </w:r>
    </w:p>
    <w:p w14:paraId="0620E70D" w14:textId="77777777" w:rsidR="00157B9E" w:rsidRPr="00157B9E" w:rsidRDefault="00157B9E" w:rsidP="00157B9E">
      <w:pPr>
        <w:pStyle w:val="Bibliographie"/>
        <w:jc w:val="both"/>
        <w:rPr>
          <w:rFonts w:ascii="Arial Narrow" w:hAnsi="Arial Narrow" w:cs="Times New Roman"/>
          <w:sz w:val="20"/>
          <w:szCs w:val="18"/>
        </w:rPr>
      </w:pPr>
      <w:r w:rsidRPr="00157B9E">
        <w:rPr>
          <w:rFonts w:ascii="Arial Narrow" w:hAnsi="Arial Narrow" w:cs="Times New Roman"/>
          <w:sz w:val="20"/>
          <w:szCs w:val="18"/>
        </w:rPr>
        <w:t>31. Dunlop CL, Kilpatrick C, Jones L, Bonet M, Allegranzi B, Brizuela V, et al. Adapting the WHO hand hygiene ‘reminders in the workplace’ to improve acceptability for healthcare workers in maternity settings worldwide: a mixed methods study. BMJ Open. 2024;14:e083132.</w:t>
      </w:r>
    </w:p>
    <w:p w14:paraId="374C9552" w14:textId="77777777" w:rsidR="00157B9E" w:rsidRPr="00925E35" w:rsidRDefault="00157B9E" w:rsidP="00157B9E">
      <w:pPr>
        <w:pStyle w:val="Bibliographie"/>
        <w:jc w:val="both"/>
        <w:rPr>
          <w:rFonts w:cs="Times New Roman"/>
          <w:sz w:val="24"/>
        </w:rPr>
      </w:pPr>
      <w:r w:rsidRPr="00157B9E">
        <w:rPr>
          <w:rFonts w:ascii="Arial Narrow" w:hAnsi="Arial Narrow" w:cs="Times New Roman"/>
          <w:sz w:val="20"/>
          <w:szCs w:val="18"/>
        </w:rPr>
        <w:lastRenderedPageBreak/>
        <w:t>32. Jenner EA, Jones F, Fletcher B (c), Miller L, Scott GM. Hand hygiene posters: motivators or mixed messages? J Hosp Infect. 2005;60:218–25.</w:t>
      </w:r>
    </w:p>
    <w:p w14:paraId="10093C17" w14:textId="77777777" w:rsidR="00157B9E" w:rsidRDefault="00157B9E" w:rsidP="00157B9E">
      <w:pPr>
        <w:pStyle w:val="Bibliographie"/>
        <w:rPr>
          <w:rFonts w:cs="Times New Roman"/>
          <w:sz w:val="24"/>
          <w:szCs w:val="24"/>
        </w:rPr>
      </w:pPr>
      <w:r>
        <w:rPr>
          <w:rFonts w:cs="Times New Roman"/>
          <w:sz w:val="24"/>
          <w:szCs w:val="24"/>
        </w:rPr>
        <w:fldChar w:fldCharType="end"/>
      </w:r>
    </w:p>
    <w:p w14:paraId="3028C83D" w14:textId="4D52F4E7" w:rsidR="00E35E8C" w:rsidRPr="00533865" w:rsidRDefault="00533865" w:rsidP="00157B9E">
      <w:pPr>
        <w:pStyle w:val="Bibliographie"/>
        <w:spacing w:line="240" w:lineRule="auto"/>
        <w:jc w:val="both"/>
        <w:rPr>
          <w:rFonts w:ascii="Arial Narrow" w:hAnsi="Arial Narrow"/>
        </w:rPr>
      </w:pPr>
      <w:r w:rsidRPr="00D470B2">
        <w:rPr>
          <w:rFonts w:ascii="Times New Roman" w:hAnsi="Times New Roman" w:cs="Times New Roman"/>
          <w:sz w:val="18"/>
          <w:szCs w:val="18"/>
        </w:rPr>
        <w:t xml:space="preserve"> </w:t>
      </w:r>
      <w:r w:rsidRPr="00B70D67">
        <w:rPr>
          <w:rFonts w:ascii="Times New Roman" w:hAnsi="Times New Roman" w:cs="Times New Roman"/>
          <w:b/>
          <w:bCs/>
          <w:sz w:val="24"/>
          <w:szCs w:val="24"/>
        </w:rPr>
        <w:fldChar w:fldCharType="end"/>
      </w:r>
    </w:p>
    <w:p w14:paraId="56ADBF3A" w14:textId="77777777" w:rsidR="00E35E8C" w:rsidRPr="00533865" w:rsidRDefault="00E35E8C" w:rsidP="00E35E8C">
      <w:pPr>
        <w:rPr>
          <w:rFonts w:ascii="Arial Narrow" w:hAnsi="Arial Narrow"/>
        </w:rPr>
      </w:pPr>
    </w:p>
    <w:p w14:paraId="7B12081F" w14:textId="77777777" w:rsidR="00E35E8C" w:rsidRPr="00533865" w:rsidRDefault="00E35E8C" w:rsidP="00E35E8C">
      <w:pPr>
        <w:rPr>
          <w:rFonts w:ascii="Arial Narrow" w:hAnsi="Arial Narrow"/>
        </w:rPr>
      </w:pPr>
    </w:p>
    <w:p w14:paraId="7843DDE8" w14:textId="77777777" w:rsidR="00E35E8C" w:rsidRPr="00533865" w:rsidRDefault="00E35E8C" w:rsidP="00E35E8C">
      <w:pPr>
        <w:rPr>
          <w:rFonts w:ascii="Arial Narrow" w:hAnsi="Arial Narrow"/>
        </w:rPr>
      </w:pPr>
    </w:p>
    <w:p w14:paraId="79DE4400" w14:textId="77777777" w:rsidR="00E35E8C" w:rsidRPr="00533865" w:rsidRDefault="00E35E8C" w:rsidP="00E35E8C">
      <w:pPr>
        <w:rPr>
          <w:rFonts w:ascii="Arial Narrow" w:hAnsi="Arial Narrow"/>
        </w:rPr>
      </w:pPr>
    </w:p>
    <w:p w14:paraId="61F21049" w14:textId="77777777" w:rsidR="00E35E8C" w:rsidRPr="00533865" w:rsidRDefault="00E35E8C" w:rsidP="00E35E8C">
      <w:pPr>
        <w:rPr>
          <w:rFonts w:ascii="Arial Narrow" w:hAnsi="Arial Narrow"/>
        </w:rPr>
      </w:pPr>
    </w:p>
    <w:p w14:paraId="0BACFE27" w14:textId="77777777" w:rsidR="00E35E8C" w:rsidRPr="00533865" w:rsidRDefault="00E35E8C" w:rsidP="00E35E8C">
      <w:pPr>
        <w:rPr>
          <w:rFonts w:ascii="Arial Narrow" w:hAnsi="Arial Narrow"/>
        </w:rPr>
      </w:pPr>
    </w:p>
    <w:p w14:paraId="15D4D901" w14:textId="77777777" w:rsidR="00E35E8C" w:rsidRPr="00533865" w:rsidRDefault="00E35E8C" w:rsidP="00E35E8C">
      <w:pPr>
        <w:rPr>
          <w:rFonts w:ascii="Arial Narrow" w:hAnsi="Arial Narrow"/>
        </w:rPr>
      </w:pPr>
    </w:p>
    <w:p w14:paraId="082A4B38" w14:textId="77777777" w:rsidR="00E35E8C" w:rsidRPr="00533865" w:rsidRDefault="00E35E8C" w:rsidP="00E35E8C">
      <w:pPr>
        <w:rPr>
          <w:rFonts w:ascii="Arial Narrow" w:hAnsi="Arial Narrow"/>
        </w:rPr>
      </w:pPr>
    </w:p>
    <w:p w14:paraId="2A4C6E0A" w14:textId="77777777" w:rsidR="00E35E8C" w:rsidRPr="00533865" w:rsidRDefault="00E35E8C" w:rsidP="00E35E8C">
      <w:pPr>
        <w:rPr>
          <w:rFonts w:ascii="Arial Narrow" w:hAnsi="Arial Narrow"/>
        </w:rPr>
      </w:pPr>
    </w:p>
    <w:p w14:paraId="45FA442C" w14:textId="77777777" w:rsidR="00E35E8C" w:rsidRPr="00533865" w:rsidRDefault="00E35E8C" w:rsidP="00E35E8C">
      <w:pPr>
        <w:rPr>
          <w:rFonts w:ascii="Arial Narrow" w:hAnsi="Arial Narrow"/>
        </w:rPr>
      </w:pPr>
    </w:p>
    <w:p w14:paraId="456844D1" w14:textId="77777777" w:rsidR="00E35E8C" w:rsidRPr="00533865" w:rsidRDefault="00E35E8C" w:rsidP="00E35E8C">
      <w:pPr>
        <w:jc w:val="center"/>
        <w:rPr>
          <w:rFonts w:ascii="Arial Narrow" w:hAnsi="Arial Narrow"/>
        </w:rPr>
      </w:pPr>
    </w:p>
    <w:sectPr w:rsidR="00E35E8C" w:rsidRPr="00533865" w:rsidSect="00034616">
      <w:headerReference w:type="default" r:id="rId20"/>
      <w:footerReference w:type="default" r:id="rId2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9A88E" w14:textId="77777777" w:rsidR="00B75B61" w:rsidRDefault="00B75B61">
      <w:pPr>
        <w:spacing w:after="0" w:line="240" w:lineRule="auto"/>
      </w:pPr>
      <w:r>
        <w:separator/>
      </w:r>
    </w:p>
  </w:endnote>
  <w:endnote w:type="continuationSeparator" w:id="0">
    <w:p w14:paraId="724F2842" w14:textId="77777777" w:rsidR="00B75B61" w:rsidRDefault="00B75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7CAA9" w14:textId="20051B31" w:rsidR="009814C2" w:rsidRDefault="001F55FA">
    <w:pPr>
      <w:pStyle w:val="Pieddepage"/>
    </w:pPr>
    <w:r>
      <w:rPr>
        <w:rFonts w:ascii="Aptos" w:hAnsi="Aptos"/>
        <w:noProof/>
        <w:color w:val="1F497D" w:themeColor="text2"/>
        <w:sz w:val="24"/>
        <w:szCs w:val="24"/>
      </w:rPr>
      <mc:AlternateContent>
        <mc:Choice Requires="wps">
          <w:drawing>
            <wp:anchor distT="0" distB="0" distL="114300" distR="114300" simplePos="0" relativeHeight="251667456" behindDoc="0" locked="0" layoutInCell="1" allowOverlap="1" wp14:anchorId="49F31C68" wp14:editId="2C1BC705">
              <wp:simplePos x="0" y="0"/>
              <wp:positionH relativeFrom="column">
                <wp:posOffset>38100</wp:posOffset>
              </wp:positionH>
              <wp:positionV relativeFrom="paragraph">
                <wp:posOffset>-228199</wp:posOffset>
              </wp:positionV>
              <wp:extent cx="5400174" cy="7018"/>
              <wp:effectExtent l="38100" t="57150" r="48260" b="107315"/>
              <wp:wrapNone/>
              <wp:docPr id="989170971" name="Connecteur droit 4"/>
              <wp:cNvGraphicFramePr/>
              <a:graphic xmlns:a="http://schemas.openxmlformats.org/drawingml/2006/main">
                <a:graphicData uri="http://schemas.microsoft.com/office/word/2010/wordprocessingShape">
                  <wps:wsp>
                    <wps:cNvCnPr/>
                    <wps:spPr>
                      <a:xfrm flipV="1">
                        <a:off x="0" y="0"/>
                        <a:ext cx="5400174" cy="7018"/>
                      </a:xfrm>
                      <a:prstGeom prst="line">
                        <a:avLst/>
                      </a:prstGeom>
                      <a:ln>
                        <a:solidFill>
                          <a:schemeClr val="tx2"/>
                        </a:solidFill>
                      </a:ln>
                      <a:effectLst>
                        <a:outerShdw blurRad="50800" dist="38100" dir="2700000" algn="tl" rotWithShape="0">
                          <a:prstClr val="black">
                            <a:alpha val="40000"/>
                          </a:prstClr>
                        </a:outerShdw>
                      </a:effectLst>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5908866" id="Connecteur droit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7.95pt" to="428.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" strokecolor="#1f497d [3215]" strokeweight="3pt">
              <v:shadow on="t" color="black" opacity="26214f" origin="-.5,-.5" offset=".74836mm,.74836mm"/>
            </v:line>
          </w:pict>
        </mc:Fallback>
      </mc:AlternateContent>
    </w:r>
    <w:r>
      <w:rPr>
        <w:rFonts w:ascii="Aptos" w:hAnsi="Aptos"/>
        <w:noProof/>
        <w:color w:val="1F497D" w:themeColor="text2"/>
        <w:sz w:val="24"/>
        <w:szCs w:val="24"/>
      </w:rPr>
      <mc:AlternateContent>
        <mc:Choice Requires="wps">
          <w:drawing>
            <wp:anchor distT="0" distB="0" distL="114300" distR="114300" simplePos="0" relativeHeight="251655168" behindDoc="1" locked="0" layoutInCell="1" allowOverlap="1" wp14:anchorId="4705F1D6" wp14:editId="1BCCBC47">
              <wp:simplePos x="0" y="0"/>
              <wp:positionH relativeFrom="column">
                <wp:posOffset>4171950</wp:posOffset>
              </wp:positionH>
              <wp:positionV relativeFrom="paragraph">
                <wp:posOffset>8890</wp:posOffset>
              </wp:positionV>
              <wp:extent cx="1314450" cy="320040"/>
              <wp:effectExtent l="0" t="0" r="0" b="3810"/>
              <wp:wrapSquare wrapText="bothSides"/>
              <wp:docPr id="1635421673" name="Zone de texte 3"/>
              <wp:cNvGraphicFramePr/>
              <a:graphic xmlns:a="http://schemas.openxmlformats.org/drawingml/2006/main">
                <a:graphicData uri="http://schemas.microsoft.com/office/word/2010/wordprocessingShape">
                  <wps:wsp>
                    <wps:cNvSpPr txBox="1"/>
                    <wps:spPr>
                      <a:xfrm>
                        <a:off x="0" y="0"/>
                        <a:ext cx="1314450" cy="320040"/>
                      </a:xfrm>
                      <a:prstGeom prst="rect">
                        <a:avLst/>
                      </a:prstGeom>
                      <a:solidFill>
                        <a:schemeClr val="lt1"/>
                      </a:solidFill>
                      <a:ln w="6350">
                        <a:noFill/>
                      </a:ln>
                    </wps:spPr>
                    <wps:txbx>
                      <w:txbxContent>
                        <w:p w14:paraId="1880D9BD" w14:textId="057867E3" w:rsidR="009814C2" w:rsidRDefault="009814C2">
                          <w:r w:rsidRPr="009814C2">
                            <w:rPr>
                              <w:rFonts w:ascii="Aptos" w:hAnsi="Aptos"/>
                              <w:color w:val="1F497D" w:themeColor="text2"/>
                              <w:sz w:val="24"/>
                              <w:szCs w:val="24"/>
                            </w:rPr>
                            <w:t>Page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705F1D6" id="_x0000_t202" coordsize="21600,21600" o:spt="202" path="m,l,21600r21600,l21600,xe">
              <v:stroke joinstyle="miter"/>
              <v:path gradientshapeok="t" o:connecttype="rect"/>
            </v:shapetype>
            <v:shape id="Zone de texte 3" o:spid="_x0000_s1037" type="#_x0000_t202" style="position:absolute;margin-left:328.5pt;margin-top:.7pt;width:103.5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" fillcolor="white [3201]" stroked="f" strokeweight=".5pt">
              <v:textbox>
                <w:txbxContent>
                  <w:p w14:paraId="1880D9BD" w14:textId="057867E3" w:rsidR="009814C2" w:rsidRDefault="009814C2">
                    <w:r w:rsidRPr="009814C2">
                      <w:rPr>
                        <w:rFonts w:ascii="Aptos" w:hAnsi="Aptos"/>
                        <w:color w:val="1F497D" w:themeColor="text2"/>
                        <w:sz w:val="24"/>
                        <w:szCs w:val="24"/>
                      </w:rPr>
                      <w:t>Page {n}</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2E42B" w14:textId="77777777" w:rsidR="00B75B61" w:rsidRDefault="00B75B61">
      <w:pPr>
        <w:spacing w:after="0" w:line="240" w:lineRule="auto"/>
      </w:pPr>
      <w:r>
        <w:separator/>
      </w:r>
    </w:p>
  </w:footnote>
  <w:footnote w:type="continuationSeparator" w:id="0">
    <w:p w14:paraId="698F4525" w14:textId="77777777" w:rsidR="00B75B61" w:rsidRDefault="00B75B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3F4D" w14:textId="5BB31E2A" w:rsidR="001F55FA" w:rsidRPr="00B91631" w:rsidRDefault="004135F0" w:rsidP="00CD6DE4">
    <w:pPr>
      <w:pStyle w:val="En-tte"/>
      <w:rPr>
        <w:rFonts w:ascii="Aptos" w:hAnsi="Aptos"/>
        <w:i/>
        <w:iCs/>
        <w:color w:val="1F497D" w:themeColor="text2"/>
        <w:lang w:val="fr-FR"/>
      </w:rPr>
    </w:pPr>
    <w:r>
      <w:rPr>
        <w:rFonts w:ascii="Aptos" w:hAnsi="Aptos"/>
        <w:bCs/>
        <w:i/>
        <w:iCs/>
        <w:color w:val="1F497D" w:themeColor="text2"/>
        <w:sz w:val="24"/>
        <w:szCs w:val="24"/>
        <w:lang w:val="fr-FR"/>
      </w:rPr>
      <w:t xml:space="preserve">D L </w:t>
    </w:r>
    <w:r w:rsidRPr="004135F0">
      <w:rPr>
        <w:rFonts w:ascii="Aptos" w:hAnsi="Aptos"/>
        <w:bCs/>
        <w:i/>
        <w:iCs/>
        <w:color w:val="1F497D" w:themeColor="text2"/>
        <w:sz w:val="24"/>
        <w:szCs w:val="24"/>
        <w:lang w:val="fr-FR"/>
      </w:rPr>
      <w:t xml:space="preserve">DAHOUROU </w:t>
    </w:r>
    <w:r w:rsidR="00B91631" w:rsidRPr="00B91631">
      <w:rPr>
        <w:rFonts w:ascii="Aptos" w:hAnsi="Aptos"/>
        <w:i/>
        <w:iCs/>
        <w:color w:val="1F497D" w:themeColor="text2"/>
        <w:sz w:val="24"/>
        <w:szCs w:val="24"/>
        <w:lang w:val="fr-FR"/>
      </w:rPr>
      <w:t>et al. Vol x</w:t>
    </w:r>
    <w:r w:rsidR="00935B2C">
      <w:rPr>
        <w:rFonts w:ascii="Aptos" w:hAnsi="Aptos"/>
        <w:i/>
        <w:iCs/>
        <w:color w:val="1F497D" w:themeColor="text2"/>
        <w:sz w:val="24"/>
        <w:szCs w:val="24"/>
        <w:lang w:val="fr-FR"/>
      </w:rPr>
      <w:t xml:space="preserve"> </w:t>
    </w:r>
    <w:proofErr w:type="spellStart"/>
    <w:r w:rsidR="00935B2C">
      <w:rPr>
        <w:rFonts w:ascii="Aptos" w:hAnsi="Aptos"/>
        <w:i/>
        <w:iCs/>
        <w:color w:val="1F497D" w:themeColor="text2"/>
        <w:sz w:val="24"/>
        <w:szCs w:val="24"/>
        <w:lang w:val="fr-FR"/>
      </w:rPr>
      <w:t>doi</w:t>
    </w:r>
    <w:proofErr w:type="spellEnd"/>
  </w:p>
  <w:p w14:paraId="00FB4937" w14:textId="77777777" w:rsidR="001F55FA" w:rsidRPr="00CD6DE4" w:rsidRDefault="001F55FA">
    <w:pPr>
      <w:pStyle w:val="En-tte"/>
      <w:rPr>
        <w:rFonts w:ascii="Aptos" w:hAnsi="Aptos"/>
        <w:lang w:val="fr-FR"/>
      </w:rPr>
    </w:pPr>
    <w:r>
      <w:rPr>
        <w:rFonts w:ascii="Aptos" w:hAnsi="Aptos"/>
        <w:lang w:val="fr-FR"/>
      </w:rPr>
      <w:t xml:space="preserve"> </w:t>
    </w:r>
    <w:r w:rsidRPr="00CD6DE4">
      <w:rPr>
        <w:rFonts w:ascii="Aptos" w:hAnsi="Aptos"/>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EF75ECF"/>
    <w:multiLevelType w:val="hybridMultilevel"/>
    <w:tmpl w:val="2FD2F6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E4B26C7"/>
    <w:multiLevelType w:val="hybridMultilevel"/>
    <w:tmpl w:val="A8180BA8"/>
    <w:lvl w:ilvl="0" w:tplc="040C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5897A75"/>
    <w:multiLevelType w:val="hybridMultilevel"/>
    <w:tmpl w:val="D304EC5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7395086"/>
    <w:multiLevelType w:val="multilevel"/>
    <w:tmpl w:val="2562876E"/>
    <w:lvl w:ilvl="0">
      <w:start w:val="1"/>
      <w:numFmt w:val="decimal"/>
      <w:pStyle w:val="Titre1"/>
      <w:lvlText w:val="%1"/>
      <w:lvlJc w:val="left"/>
      <w:pPr>
        <w:ind w:left="432" w:hanging="432"/>
      </w:pPr>
      <w:rPr>
        <w:rFonts w:hint="default"/>
      </w:rPr>
    </w:lvl>
    <w:lvl w:ilvl="1">
      <w:start w:val="1"/>
      <w:numFmt w:val="decimal"/>
      <w:pStyle w:val="Titre2"/>
      <w:lvlText w:val="%1.%2"/>
      <w:lvlJc w:val="left"/>
      <w:pPr>
        <w:ind w:left="435" w:hanging="576"/>
      </w:pPr>
      <w:rPr>
        <w:rFonts w:hint="default"/>
        <w:b/>
        <w:bCs/>
        <w:color w:val="1F497D" w:themeColor="text2"/>
        <w:sz w:val="24"/>
        <w:szCs w:val="24"/>
      </w:rPr>
    </w:lvl>
    <w:lvl w:ilvl="2">
      <w:start w:val="1"/>
      <w:numFmt w:val="decimal"/>
      <w:pStyle w:val="Titre3"/>
      <w:lvlText w:val="%1.%2.%3"/>
      <w:lvlJc w:val="left"/>
      <w:pPr>
        <w:ind w:left="579" w:hanging="720"/>
      </w:pPr>
      <w:rPr>
        <w:rFonts w:hint="default"/>
        <w:color w:val="1F497D" w:themeColor="text2"/>
      </w:rPr>
    </w:lvl>
    <w:lvl w:ilvl="3">
      <w:start w:val="1"/>
      <w:numFmt w:val="decimal"/>
      <w:pStyle w:val="Titre4"/>
      <w:lvlText w:val="%1.%2.%3.%4"/>
      <w:lvlJc w:val="left"/>
      <w:pPr>
        <w:ind w:left="723" w:hanging="864"/>
      </w:pPr>
      <w:rPr>
        <w:rFonts w:hint="default"/>
      </w:rPr>
    </w:lvl>
    <w:lvl w:ilvl="4">
      <w:start w:val="1"/>
      <w:numFmt w:val="decimal"/>
      <w:pStyle w:val="Titre5"/>
      <w:lvlText w:val="%1.%2.%3.%4.%5"/>
      <w:lvlJc w:val="left"/>
      <w:pPr>
        <w:ind w:left="867" w:hanging="1008"/>
      </w:pPr>
      <w:rPr>
        <w:rFonts w:hint="default"/>
      </w:rPr>
    </w:lvl>
    <w:lvl w:ilvl="5">
      <w:start w:val="1"/>
      <w:numFmt w:val="decimal"/>
      <w:pStyle w:val="Titre6"/>
      <w:lvlText w:val="%1.%2.%3.%4.%5.%6"/>
      <w:lvlJc w:val="left"/>
      <w:pPr>
        <w:ind w:left="1011" w:hanging="1152"/>
      </w:pPr>
      <w:rPr>
        <w:rFonts w:hint="default"/>
      </w:rPr>
    </w:lvl>
    <w:lvl w:ilvl="6">
      <w:start w:val="1"/>
      <w:numFmt w:val="decimal"/>
      <w:pStyle w:val="Titre7"/>
      <w:lvlText w:val="%1.%2.%3.%4.%5.%6.%7"/>
      <w:lvlJc w:val="left"/>
      <w:pPr>
        <w:ind w:left="1155" w:hanging="1296"/>
      </w:pPr>
      <w:rPr>
        <w:rFonts w:hint="default"/>
      </w:rPr>
    </w:lvl>
    <w:lvl w:ilvl="7">
      <w:start w:val="1"/>
      <w:numFmt w:val="decimal"/>
      <w:pStyle w:val="Titre8"/>
      <w:lvlText w:val="%1.%2.%3.%4.%5.%6.%7.%8"/>
      <w:lvlJc w:val="left"/>
      <w:pPr>
        <w:ind w:left="1299" w:hanging="1440"/>
      </w:pPr>
      <w:rPr>
        <w:rFonts w:hint="default"/>
      </w:rPr>
    </w:lvl>
    <w:lvl w:ilvl="8">
      <w:start w:val="1"/>
      <w:numFmt w:val="decimal"/>
      <w:pStyle w:val="Titre9"/>
      <w:lvlText w:val="%1.%2.%3.%4.%5.%6.%7.%8.%9"/>
      <w:lvlJc w:val="left"/>
      <w:pPr>
        <w:ind w:left="1443" w:hanging="1584"/>
      </w:pPr>
      <w:rPr>
        <w:rFonts w:hint="default"/>
      </w:rPr>
    </w:lvl>
  </w:abstractNum>
  <w:abstractNum w:abstractNumId="13" w15:restartNumberingAfterBreak="0">
    <w:nsid w:val="37C95050"/>
    <w:multiLevelType w:val="hybridMultilevel"/>
    <w:tmpl w:val="0024CD0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06F5A7A"/>
    <w:multiLevelType w:val="hybridMultilevel"/>
    <w:tmpl w:val="CA48C6E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39F767E"/>
    <w:multiLevelType w:val="hybridMultilevel"/>
    <w:tmpl w:val="34701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F81FDB"/>
    <w:multiLevelType w:val="hybridMultilevel"/>
    <w:tmpl w:val="9F14528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E7B7EFD"/>
    <w:multiLevelType w:val="hybridMultilevel"/>
    <w:tmpl w:val="16E4A97C"/>
    <w:lvl w:ilvl="0" w:tplc="040C0001">
      <w:start w:val="1"/>
      <w:numFmt w:val="bullet"/>
      <w:lvlText w:val=""/>
      <w:lvlJc w:val="left"/>
      <w:pPr>
        <w:ind w:left="786" w:hanging="360"/>
      </w:pPr>
      <w:rPr>
        <w:rFonts w:ascii="Symbol" w:hAnsi="Symbol"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num w:numId="1" w16cid:durableId="660693942">
    <w:abstractNumId w:val="8"/>
  </w:num>
  <w:num w:numId="2" w16cid:durableId="208535885">
    <w:abstractNumId w:val="6"/>
  </w:num>
  <w:num w:numId="3" w16cid:durableId="349836013">
    <w:abstractNumId w:val="5"/>
  </w:num>
  <w:num w:numId="4" w16cid:durableId="1029377353">
    <w:abstractNumId w:val="4"/>
  </w:num>
  <w:num w:numId="5" w16cid:durableId="455368382">
    <w:abstractNumId w:val="7"/>
  </w:num>
  <w:num w:numId="6" w16cid:durableId="919756623">
    <w:abstractNumId w:val="3"/>
  </w:num>
  <w:num w:numId="7" w16cid:durableId="1701736490">
    <w:abstractNumId w:val="2"/>
  </w:num>
  <w:num w:numId="8" w16cid:durableId="2125686067">
    <w:abstractNumId w:val="1"/>
  </w:num>
  <w:num w:numId="9" w16cid:durableId="711269587">
    <w:abstractNumId w:val="0"/>
  </w:num>
  <w:num w:numId="10" w16cid:durableId="2143108251">
    <w:abstractNumId w:val="12"/>
  </w:num>
  <w:num w:numId="11" w16cid:durableId="500003870">
    <w:abstractNumId w:val="15"/>
  </w:num>
  <w:num w:numId="12" w16cid:durableId="627589071">
    <w:abstractNumId w:val="10"/>
  </w:num>
  <w:num w:numId="13" w16cid:durableId="2077703371">
    <w:abstractNumId w:val="17"/>
  </w:num>
  <w:num w:numId="14" w16cid:durableId="1231425181">
    <w:abstractNumId w:val="16"/>
  </w:num>
  <w:num w:numId="15" w16cid:durableId="988510609">
    <w:abstractNumId w:val="13"/>
  </w:num>
  <w:num w:numId="16" w16cid:durableId="1957174759">
    <w:abstractNumId w:val="14"/>
  </w:num>
  <w:num w:numId="17" w16cid:durableId="1997952842">
    <w:abstractNumId w:val="11"/>
  </w:num>
  <w:num w:numId="18" w16cid:durableId="1666518293">
    <w:abstractNumId w:val="9"/>
  </w:num>
  <w:num w:numId="19" w16cid:durableId="19350900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09865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914219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6D1"/>
    <w:rsid w:val="000264C8"/>
    <w:rsid w:val="00034616"/>
    <w:rsid w:val="0006063C"/>
    <w:rsid w:val="000A1AE6"/>
    <w:rsid w:val="000D11CF"/>
    <w:rsid w:val="0013527D"/>
    <w:rsid w:val="0015074B"/>
    <w:rsid w:val="00157B9E"/>
    <w:rsid w:val="00192241"/>
    <w:rsid w:val="001B7CCD"/>
    <w:rsid w:val="001E350A"/>
    <w:rsid w:val="001F55FA"/>
    <w:rsid w:val="00236697"/>
    <w:rsid w:val="00277F82"/>
    <w:rsid w:val="002862B4"/>
    <w:rsid w:val="0029639D"/>
    <w:rsid w:val="002B07D8"/>
    <w:rsid w:val="002E7EE8"/>
    <w:rsid w:val="00326F90"/>
    <w:rsid w:val="003A30F5"/>
    <w:rsid w:val="003D019E"/>
    <w:rsid w:val="00407063"/>
    <w:rsid w:val="00410A3F"/>
    <w:rsid w:val="004135F0"/>
    <w:rsid w:val="00496125"/>
    <w:rsid w:val="004A50BE"/>
    <w:rsid w:val="004B1E8C"/>
    <w:rsid w:val="004B646D"/>
    <w:rsid w:val="00514CA4"/>
    <w:rsid w:val="00526981"/>
    <w:rsid w:val="00533865"/>
    <w:rsid w:val="005A0E30"/>
    <w:rsid w:val="005B2D33"/>
    <w:rsid w:val="005B72EA"/>
    <w:rsid w:val="005C0223"/>
    <w:rsid w:val="005C4BB7"/>
    <w:rsid w:val="005F3B20"/>
    <w:rsid w:val="00644773"/>
    <w:rsid w:val="00651B35"/>
    <w:rsid w:val="00673798"/>
    <w:rsid w:val="00673FF8"/>
    <w:rsid w:val="006E08D7"/>
    <w:rsid w:val="007421DB"/>
    <w:rsid w:val="00780798"/>
    <w:rsid w:val="007D142E"/>
    <w:rsid w:val="00843D4F"/>
    <w:rsid w:val="00877352"/>
    <w:rsid w:val="008D4640"/>
    <w:rsid w:val="008D65F8"/>
    <w:rsid w:val="00903C6A"/>
    <w:rsid w:val="00921F9A"/>
    <w:rsid w:val="00935B2C"/>
    <w:rsid w:val="009814C2"/>
    <w:rsid w:val="00A57EA0"/>
    <w:rsid w:val="00AA1D8D"/>
    <w:rsid w:val="00B34244"/>
    <w:rsid w:val="00B47730"/>
    <w:rsid w:val="00B6748B"/>
    <w:rsid w:val="00B75B61"/>
    <w:rsid w:val="00B7722A"/>
    <w:rsid w:val="00B91631"/>
    <w:rsid w:val="00C074B8"/>
    <w:rsid w:val="00C61920"/>
    <w:rsid w:val="00CB0664"/>
    <w:rsid w:val="00CD6DE4"/>
    <w:rsid w:val="00CE413D"/>
    <w:rsid w:val="00D11A82"/>
    <w:rsid w:val="00D13460"/>
    <w:rsid w:val="00E32284"/>
    <w:rsid w:val="00E35E8C"/>
    <w:rsid w:val="00E6373B"/>
    <w:rsid w:val="00E64453"/>
    <w:rsid w:val="00E76207"/>
    <w:rsid w:val="00EB5655"/>
    <w:rsid w:val="00EF4244"/>
    <w:rsid w:val="00F00639"/>
    <w:rsid w:val="00F31465"/>
    <w:rsid w:val="00F41091"/>
    <w:rsid w:val="00F53A43"/>
    <w:rsid w:val="00FB25A0"/>
    <w:rsid w:val="00FC693F"/>
    <w:rsid w:val="00FE1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AF7445"/>
  <w14:defaultImageDpi w14:val="300"/>
  <w15:docId w15:val="{1CCBDFD6-EAF1-4A5E-A424-43FA2EA4F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numPr>
        <w:ilvl w:val="7"/>
        <w:numId w:val="10"/>
      </w:numPr>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2E7EE8"/>
    <w:rPr>
      <w:color w:val="0000FF" w:themeColor="hyperlink"/>
      <w:u w:val="single"/>
    </w:rPr>
  </w:style>
  <w:style w:type="character" w:styleId="Mentionnonrsolue">
    <w:name w:val="Unresolved Mention"/>
    <w:basedOn w:val="Policepardfaut"/>
    <w:uiPriority w:val="99"/>
    <w:semiHidden/>
    <w:unhideWhenUsed/>
    <w:rsid w:val="002E7EE8"/>
    <w:rPr>
      <w:color w:val="605E5C"/>
      <w:shd w:val="clear" w:color="auto" w:fill="E1DFDD"/>
    </w:rPr>
  </w:style>
  <w:style w:type="table" w:styleId="TableauListe6Couleur-Accentuation1">
    <w:name w:val="List Table 6 Colorful Accent 1"/>
    <w:basedOn w:val="TableauNormal"/>
    <w:uiPriority w:val="51"/>
    <w:rsid w:val="003A30F5"/>
    <w:pPr>
      <w:spacing w:after="0" w:line="240" w:lineRule="auto"/>
    </w:pPr>
    <w:rPr>
      <w:rFonts w:eastAsiaTheme="minorHAnsi"/>
      <w:color w:val="365F91" w:themeColor="accent1" w:themeShade="BF"/>
      <w:kern w:val="2"/>
      <w:lang w:val="fr-FR"/>
      <w14:ligatures w14:val="standardContextual"/>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ommentaire">
    <w:name w:val="annotation text"/>
    <w:basedOn w:val="Normal"/>
    <w:link w:val="CommentaireCar"/>
    <w:uiPriority w:val="99"/>
    <w:semiHidden/>
    <w:unhideWhenUsed/>
    <w:rsid w:val="00877352"/>
    <w:pPr>
      <w:spacing w:after="160" w:line="240" w:lineRule="auto"/>
    </w:pPr>
    <w:rPr>
      <w:rFonts w:eastAsiaTheme="minorHAnsi"/>
      <w:kern w:val="2"/>
      <w:sz w:val="20"/>
      <w:szCs w:val="20"/>
      <w:lang w:val="fr-FR"/>
      <w14:ligatures w14:val="standardContextual"/>
    </w:rPr>
  </w:style>
  <w:style w:type="character" w:customStyle="1" w:styleId="CommentaireCar">
    <w:name w:val="Commentaire Car"/>
    <w:basedOn w:val="Policepardfaut"/>
    <w:link w:val="Commentaire"/>
    <w:uiPriority w:val="99"/>
    <w:semiHidden/>
    <w:rsid w:val="00877352"/>
    <w:rPr>
      <w:rFonts w:eastAsiaTheme="minorHAnsi"/>
      <w:kern w:val="2"/>
      <w:sz w:val="20"/>
      <w:szCs w:val="20"/>
      <w:lang w:val="fr-FR"/>
      <w14:ligatures w14:val="standardContextual"/>
    </w:rPr>
  </w:style>
  <w:style w:type="paragraph" w:styleId="Bibliographie">
    <w:name w:val="Bibliography"/>
    <w:basedOn w:val="Normal"/>
    <w:next w:val="Normal"/>
    <w:uiPriority w:val="37"/>
    <w:unhideWhenUsed/>
    <w:rsid w:val="00533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39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6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30.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2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20925</Words>
  <Characters>115090</Characters>
  <Application>Microsoft Office Word</Application>
  <DocSecurity>0</DocSecurity>
  <Lines>959</Lines>
  <Paragraphs>271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135744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Relwende A YAMEOGO</cp:lastModifiedBy>
  <cp:revision>2</cp:revision>
  <dcterms:created xsi:type="dcterms:W3CDTF">2026-09-29T08:30:00Z</dcterms:created>
  <dcterms:modified xsi:type="dcterms:W3CDTF">2026-09-29T08:30:00Z</dcterms:modified>
  <cp:category/>
</cp:coreProperties>
</file>